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39A5E" w14:textId="3A1A7860" w:rsidR="00A00C96" w:rsidRDefault="00A00C96" w:rsidP="00A00C9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Hlk125466930"/>
      <w:bookmarkEnd w:id="0"/>
      <w:r>
        <w:rPr>
          <w:noProof/>
          <w:color w:val="2B579A"/>
          <w:shd w:val="clear" w:color="auto" w:fill="E6E6E6"/>
          <w:lang w:eastAsia="en-GB"/>
        </w:rPr>
        <w:drawing>
          <wp:inline distT="0" distB="0" distL="0" distR="0" wp14:anchorId="756B72DB" wp14:editId="3F60B1B5">
            <wp:extent cx="1710930" cy="740662"/>
            <wp:effectExtent l="0" t="0" r="3810" b="2540"/>
            <wp:docPr id="1561054833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969036" name="Picture 1" descr="A green and black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163" cy="75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5CA03" w14:textId="34D6737E" w:rsidR="00A00C96" w:rsidRPr="00B57B70" w:rsidRDefault="00A00C96" w:rsidP="00A00C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GridTable1Light-Accent3"/>
        <w:tblW w:w="13937" w:type="dxa"/>
        <w:tblBorders>
          <w:top w:val="single" w:sz="4" w:space="0" w:color="055961"/>
          <w:left w:val="single" w:sz="4" w:space="0" w:color="055961"/>
          <w:bottom w:val="single" w:sz="4" w:space="0" w:color="055961"/>
          <w:right w:val="single" w:sz="4" w:space="0" w:color="055961"/>
          <w:insideH w:val="single" w:sz="4" w:space="0" w:color="055961"/>
          <w:insideV w:val="single" w:sz="4" w:space="0" w:color="055961"/>
        </w:tblBorders>
        <w:tblLook w:val="04A0" w:firstRow="1" w:lastRow="0" w:firstColumn="1" w:lastColumn="0" w:noHBand="0" w:noVBand="1"/>
      </w:tblPr>
      <w:tblGrid>
        <w:gridCol w:w="7006"/>
        <w:gridCol w:w="6931"/>
      </w:tblGrid>
      <w:tr w:rsidR="00A00C96" w:rsidRPr="00DD3BF7" w14:paraId="54196881" w14:textId="77777777" w:rsidTr="00D113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tcBorders>
              <w:bottom w:val="none" w:sz="0" w:space="0" w:color="auto"/>
            </w:tcBorders>
            <w:shd w:val="clear" w:color="auto" w:fill="AFCA0B"/>
          </w:tcPr>
          <w:p w14:paraId="2973A1F8" w14:textId="5C6A0404" w:rsidR="00A00C96" w:rsidRPr="00A00C96" w:rsidRDefault="00A00C96" w:rsidP="00D66D35">
            <w:pPr>
              <w:jc w:val="center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 w:rsidRPr="00A00C96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Local</w:t>
            </w:r>
            <w:r w:rsidRPr="00A00C96">
              <w:rPr>
                <w:rFonts w:asciiTheme="minorHAnsi" w:hAnsiTheme="minorHAnsi" w:cstheme="minorHAnsi"/>
                <w:sz w:val="32"/>
                <w:szCs w:val="32"/>
              </w:rPr>
              <w:t xml:space="preserve"> Action Plan for taking on N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K</w:t>
            </w:r>
            <w:r w:rsidRPr="00A00C96">
              <w:rPr>
                <w:rFonts w:asciiTheme="minorHAnsi" w:hAnsiTheme="minorHAnsi" w:cstheme="minorHAnsi"/>
                <w:sz w:val="32"/>
                <w:szCs w:val="32"/>
              </w:rPr>
              <w:t>CA State of the Nation Report 2024</w:t>
            </w:r>
            <w:r w:rsidR="004B7696">
              <w:rPr>
                <w:rFonts w:asciiTheme="minorHAnsi" w:hAnsiTheme="minorHAnsi" w:cstheme="minorHAnsi"/>
                <w:sz w:val="32"/>
                <w:szCs w:val="32"/>
              </w:rPr>
              <w:t xml:space="preserve"> recommendations</w:t>
            </w:r>
          </w:p>
        </w:tc>
      </w:tr>
      <w:tr w:rsidR="00A00C96" w:rsidRPr="00DD3BF7" w14:paraId="21B1632C" w14:textId="77777777" w:rsidTr="00D66D3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7" w:type="dxa"/>
            <w:gridSpan w:val="2"/>
          </w:tcPr>
          <w:p w14:paraId="6DCB0CA7" w14:textId="77777777" w:rsidR="00A00C96" w:rsidRPr="00DD3BF7" w:rsidRDefault="00A00C96" w:rsidP="00D66D35">
            <w:pPr>
              <w:rPr>
                <w:rFonts w:asciiTheme="minorHAnsi" w:hAnsiTheme="minorHAnsi" w:cstheme="minorHAnsi"/>
                <w:b w:val="0"/>
                <w:sz w:val="24"/>
              </w:rPr>
            </w:pPr>
            <w:r w:rsidRPr="00DD3BF7">
              <w:rPr>
                <w:rFonts w:asciiTheme="minorHAnsi" w:hAnsiTheme="minorHAnsi" w:cstheme="minorHAnsi"/>
                <w:sz w:val="24"/>
              </w:rPr>
              <w:t>The provider should complete the following details to allow for ease of review</w:t>
            </w:r>
          </w:p>
        </w:tc>
      </w:tr>
      <w:tr w:rsidR="00A00C96" w:rsidRPr="00DD3BF7" w14:paraId="521D6D6F" w14:textId="77777777" w:rsidTr="002B6FCD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6" w:type="dxa"/>
            <w:vAlign w:val="center"/>
          </w:tcPr>
          <w:p w14:paraId="2D36563E" w14:textId="6C88858B" w:rsidR="00A00C96" w:rsidRPr="00DD3BF7" w:rsidRDefault="00A00C96" w:rsidP="002B6FCD">
            <w:pPr>
              <w:rPr>
                <w:rFonts w:asciiTheme="minorHAnsi" w:hAnsiTheme="minorHAnsi" w:cstheme="minorHAnsi"/>
                <w:b w:val="0"/>
                <w:sz w:val="28"/>
              </w:rPr>
            </w:pPr>
            <w:r w:rsidRPr="00DD3BF7">
              <w:rPr>
                <w:rFonts w:asciiTheme="minorHAnsi" w:eastAsia="Times New Roman" w:hAnsiTheme="minorHAnsi" w:cstheme="minorHAnsi"/>
                <w:sz w:val="28"/>
              </w:rPr>
              <w:t>Audit title &amp; aim:</w:t>
            </w:r>
          </w:p>
        </w:tc>
        <w:tc>
          <w:tcPr>
            <w:tcW w:w="6930" w:type="dxa"/>
          </w:tcPr>
          <w:p w14:paraId="18975866" w14:textId="004D0E6B" w:rsidR="00A00C96" w:rsidRPr="00DD3BF7" w:rsidRDefault="00A00C96" w:rsidP="00D66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DD3BF7">
              <w:rPr>
                <w:rFonts w:asciiTheme="minorHAnsi" w:hAnsiTheme="minorHAnsi" w:cstheme="minorHAnsi"/>
                <w:sz w:val="24"/>
              </w:rPr>
              <w:t xml:space="preserve">National </w:t>
            </w:r>
            <w:r>
              <w:rPr>
                <w:rFonts w:asciiTheme="minorHAnsi" w:hAnsiTheme="minorHAnsi" w:cstheme="minorHAnsi"/>
                <w:sz w:val="24"/>
              </w:rPr>
              <w:t>Kidney</w:t>
            </w:r>
            <w:r w:rsidRPr="00DD3BF7">
              <w:rPr>
                <w:rFonts w:asciiTheme="minorHAnsi" w:hAnsiTheme="minorHAnsi" w:cstheme="minorHAnsi"/>
                <w:sz w:val="24"/>
              </w:rPr>
              <w:t xml:space="preserve"> Cancer Audit (N</w:t>
            </w:r>
            <w:r>
              <w:rPr>
                <w:rFonts w:asciiTheme="minorHAnsi" w:hAnsiTheme="minorHAnsi" w:cstheme="minorHAnsi"/>
                <w:sz w:val="24"/>
              </w:rPr>
              <w:t>K</w:t>
            </w:r>
            <w:r w:rsidRPr="00DD3BF7">
              <w:rPr>
                <w:rFonts w:asciiTheme="minorHAnsi" w:hAnsiTheme="minorHAnsi" w:cstheme="minorHAnsi"/>
                <w:sz w:val="24"/>
              </w:rPr>
              <w:t>CA)</w:t>
            </w:r>
          </w:p>
          <w:p w14:paraId="01270CA9" w14:textId="597FA4B0" w:rsidR="00A00C96" w:rsidRPr="00DD3BF7" w:rsidRDefault="00A00C96" w:rsidP="00D66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DD3BF7">
              <w:rPr>
                <w:rFonts w:asciiTheme="minorHAnsi" w:hAnsiTheme="minorHAnsi" w:cstheme="minorHAnsi"/>
                <w:sz w:val="24"/>
              </w:rPr>
              <w:t xml:space="preserve">To assess the process of care and its outcomes in </w:t>
            </w:r>
            <w:r>
              <w:rPr>
                <w:rFonts w:asciiTheme="minorHAnsi" w:hAnsiTheme="minorHAnsi" w:cstheme="minorHAnsi"/>
                <w:sz w:val="24"/>
              </w:rPr>
              <w:t>patients with kidney cancer</w:t>
            </w:r>
          </w:p>
        </w:tc>
      </w:tr>
      <w:tr w:rsidR="00A00C96" w:rsidRPr="00DD3BF7" w14:paraId="3F25A80E" w14:textId="77777777" w:rsidTr="002B6FCD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6" w:type="dxa"/>
            <w:vAlign w:val="center"/>
          </w:tcPr>
          <w:p w14:paraId="5D0F2F02" w14:textId="3490C0B6" w:rsidR="00A00C96" w:rsidRPr="00DD3BF7" w:rsidRDefault="00A00C96" w:rsidP="002B6FCD">
            <w:pPr>
              <w:rPr>
                <w:rFonts w:asciiTheme="minorHAnsi" w:hAnsiTheme="minorHAnsi" w:cstheme="minorHAnsi"/>
                <w:b w:val="0"/>
                <w:sz w:val="28"/>
              </w:rPr>
            </w:pPr>
            <w:r w:rsidRPr="00DD3BF7">
              <w:rPr>
                <w:rFonts w:asciiTheme="minorHAnsi" w:hAnsiTheme="minorHAnsi" w:cstheme="minorHAnsi"/>
                <w:sz w:val="28"/>
              </w:rPr>
              <w:t>NHS organisation:</w:t>
            </w:r>
          </w:p>
        </w:tc>
        <w:tc>
          <w:tcPr>
            <w:tcW w:w="6930" w:type="dxa"/>
          </w:tcPr>
          <w:p w14:paraId="2A8B5AC3" w14:textId="77777777" w:rsidR="00A00C96" w:rsidRPr="00DD3BF7" w:rsidRDefault="00A00C96" w:rsidP="00D66D35">
            <w:pPr>
              <w:tabs>
                <w:tab w:val="left" w:pos="11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A00C96" w:rsidRPr="00DD3BF7" w14:paraId="390A83CC" w14:textId="77777777" w:rsidTr="002B6FCD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6" w:type="dxa"/>
            <w:vAlign w:val="center"/>
          </w:tcPr>
          <w:p w14:paraId="63706D41" w14:textId="303DD997" w:rsidR="00A00C96" w:rsidRPr="00DD3BF7" w:rsidRDefault="00A00C96" w:rsidP="002B6FCD">
            <w:pPr>
              <w:rPr>
                <w:rFonts w:asciiTheme="minorHAnsi" w:hAnsiTheme="minorHAnsi" w:cstheme="minorHAnsi"/>
                <w:b w:val="0"/>
                <w:sz w:val="28"/>
              </w:rPr>
            </w:pPr>
            <w:r w:rsidRPr="00DD3BF7">
              <w:rPr>
                <w:rFonts w:asciiTheme="minorHAnsi" w:hAnsiTheme="minorHAnsi" w:cstheme="minorHAnsi"/>
                <w:sz w:val="28"/>
              </w:rPr>
              <w:t>Audit lead:</w:t>
            </w:r>
          </w:p>
        </w:tc>
        <w:tc>
          <w:tcPr>
            <w:tcW w:w="6930" w:type="dxa"/>
          </w:tcPr>
          <w:p w14:paraId="6B1C558A" w14:textId="77777777" w:rsidR="00A00C96" w:rsidRPr="00DD3BF7" w:rsidRDefault="00A00C96" w:rsidP="00D66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00C96" w:rsidRPr="00DD3BF7" w14:paraId="1DE9AF4A" w14:textId="77777777" w:rsidTr="002B6FCD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6" w:type="dxa"/>
            <w:vAlign w:val="center"/>
          </w:tcPr>
          <w:p w14:paraId="33C2C21B" w14:textId="4FD136AB" w:rsidR="00A00C96" w:rsidRPr="00DD3BF7" w:rsidRDefault="00A00C96" w:rsidP="002B6FCD">
            <w:pPr>
              <w:rPr>
                <w:rFonts w:asciiTheme="minorHAnsi" w:hAnsiTheme="minorHAnsi" w:cstheme="minorHAnsi"/>
                <w:b w:val="0"/>
                <w:sz w:val="28"/>
              </w:rPr>
            </w:pPr>
            <w:r w:rsidRPr="00DD3BF7">
              <w:rPr>
                <w:rFonts w:asciiTheme="minorHAnsi" w:hAnsiTheme="minorHAnsi" w:cstheme="minorHAnsi"/>
                <w:sz w:val="28"/>
              </w:rPr>
              <w:t>Action plan lead:</w:t>
            </w:r>
          </w:p>
        </w:tc>
        <w:tc>
          <w:tcPr>
            <w:tcW w:w="6930" w:type="dxa"/>
          </w:tcPr>
          <w:p w14:paraId="519D62F2" w14:textId="77777777" w:rsidR="00A00C96" w:rsidRPr="00DD3BF7" w:rsidRDefault="00A00C96" w:rsidP="00D66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28F66767" w14:textId="77777777" w:rsidR="00A00C96" w:rsidRPr="00DD3BF7" w:rsidRDefault="00A00C96" w:rsidP="00A00C96">
      <w:pPr>
        <w:spacing w:line="360" w:lineRule="auto"/>
        <w:rPr>
          <w:rFonts w:asciiTheme="minorHAnsi" w:hAnsiTheme="minorHAnsi" w:cstheme="minorHAnsi"/>
          <w:sz w:val="36"/>
          <w:szCs w:val="32"/>
          <w:vertAlign w:val="superscript"/>
        </w:rPr>
      </w:pPr>
      <w:r w:rsidRPr="00DD3BF7">
        <w:rPr>
          <w:rFonts w:asciiTheme="minorHAnsi" w:hAnsiTheme="minorHAnsi" w:cstheme="minorHAnsi"/>
          <w:sz w:val="36"/>
          <w:szCs w:val="32"/>
          <w:vertAlign w:val="superscript"/>
        </w:rPr>
        <w:t>When making your action plan, make sure to keep the objectives SMART – Specific, Measurable, Assignable, Realistic, Time-related</w:t>
      </w:r>
    </w:p>
    <w:p w14:paraId="0FE992C4" w14:textId="77777777" w:rsidR="00A00C96" w:rsidRPr="00DD3BF7" w:rsidRDefault="00A00C96" w:rsidP="00A00C96">
      <w:pPr>
        <w:rPr>
          <w:rFonts w:asciiTheme="minorHAnsi" w:eastAsia="Times New Roman" w:hAnsiTheme="minorHAnsi" w:cstheme="minorHAnsi"/>
          <w:b/>
        </w:rPr>
        <w:sectPr w:rsidR="00A00C96" w:rsidRPr="00DD3BF7" w:rsidSect="00A00C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6730" w:type="dxa"/>
        <w:tblBorders>
          <w:top w:val="single" w:sz="4" w:space="0" w:color="055961"/>
          <w:left w:val="single" w:sz="4" w:space="0" w:color="055961"/>
          <w:bottom w:val="single" w:sz="4" w:space="0" w:color="055961"/>
          <w:right w:val="single" w:sz="4" w:space="0" w:color="055961"/>
          <w:insideH w:val="single" w:sz="4" w:space="0" w:color="055961"/>
          <w:insideV w:val="single" w:sz="4" w:space="0" w:color="055961"/>
        </w:tblBorders>
        <w:tblLook w:val="04A0" w:firstRow="1" w:lastRow="0" w:firstColumn="1" w:lastColumn="0" w:noHBand="0" w:noVBand="1"/>
      </w:tblPr>
      <w:tblGrid>
        <w:gridCol w:w="6730"/>
      </w:tblGrid>
      <w:tr w:rsidR="00A00C96" w:rsidRPr="00DD3BF7" w14:paraId="18B2E992" w14:textId="77777777" w:rsidTr="00D1133B">
        <w:trPr>
          <w:trHeight w:val="133"/>
        </w:trPr>
        <w:tc>
          <w:tcPr>
            <w:tcW w:w="6730" w:type="dxa"/>
            <w:shd w:val="clear" w:color="auto" w:fill="AFCA0B"/>
          </w:tcPr>
          <w:p w14:paraId="0EB03376" w14:textId="75C5DD84" w:rsidR="00A00C96" w:rsidRPr="00DD3BF7" w:rsidRDefault="00A00C96" w:rsidP="00D66D35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eastAsia="Times New Roman" w:hAnsiTheme="minorHAnsi" w:cstheme="minorHAnsi"/>
                <w:b/>
              </w:rPr>
              <w:t>Key 1 (for the action status)</w:t>
            </w:r>
          </w:p>
        </w:tc>
      </w:tr>
      <w:tr w:rsidR="00A00C96" w:rsidRPr="00DD3BF7" w14:paraId="2D1FFC32" w14:textId="77777777" w:rsidTr="00D66D35">
        <w:trPr>
          <w:trHeight w:val="210"/>
        </w:trPr>
        <w:tc>
          <w:tcPr>
            <w:tcW w:w="6730" w:type="dxa"/>
            <w:shd w:val="clear" w:color="auto" w:fill="FFFFFF" w:themeFill="background1"/>
          </w:tcPr>
          <w:p w14:paraId="22B74641" w14:textId="77777777" w:rsidR="00A00C96" w:rsidRPr="00DD3BF7" w:rsidRDefault="00A00C96" w:rsidP="00A00C9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D3BF7">
              <w:rPr>
                <w:rFonts w:asciiTheme="minorHAnsi" w:hAnsiTheme="minorHAnsi" w:cstheme="minorHAnsi"/>
              </w:rPr>
              <w:t>Awaiting plan of action</w:t>
            </w:r>
          </w:p>
          <w:p w14:paraId="6C0EF8A3" w14:textId="77777777" w:rsidR="00A00C96" w:rsidRPr="00DD3BF7" w:rsidRDefault="00A00C96" w:rsidP="00A00C9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D3BF7">
              <w:rPr>
                <w:rFonts w:asciiTheme="minorHAnsi" w:hAnsiTheme="minorHAnsi" w:cstheme="minorHAnsi"/>
              </w:rPr>
              <w:t>Action in progress</w:t>
            </w:r>
          </w:p>
          <w:p w14:paraId="15657AEE" w14:textId="77777777" w:rsidR="00A00C96" w:rsidRPr="00DD3BF7" w:rsidRDefault="00A00C96" w:rsidP="00A00C9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D3BF7">
              <w:rPr>
                <w:rFonts w:asciiTheme="minorHAnsi" w:hAnsiTheme="minorHAnsi" w:cstheme="minorHAnsi"/>
              </w:rPr>
              <w:t>Action fully implemented</w:t>
            </w:r>
          </w:p>
          <w:p w14:paraId="7129BDB9" w14:textId="77777777" w:rsidR="00A00C96" w:rsidRPr="00DD3BF7" w:rsidRDefault="00A00C96" w:rsidP="00A00C9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D3BF7">
              <w:rPr>
                <w:rFonts w:asciiTheme="minorHAnsi" w:hAnsiTheme="minorHAnsi" w:cstheme="minorHAnsi"/>
              </w:rPr>
              <w:t>No plan to action recommendation (state reason)</w:t>
            </w:r>
          </w:p>
          <w:p w14:paraId="69604410" w14:textId="77777777" w:rsidR="00A00C96" w:rsidRPr="00DD3BF7" w:rsidRDefault="00A00C96" w:rsidP="00A00C9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</w:rPr>
              <w:t>Other (provide information)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2"/>
        <w:tblW w:w="6730" w:type="dxa"/>
        <w:tblBorders>
          <w:top w:val="single" w:sz="4" w:space="0" w:color="055961"/>
          <w:left w:val="single" w:sz="4" w:space="0" w:color="055961"/>
          <w:bottom w:val="single" w:sz="4" w:space="0" w:color="055961"/>
          <w:right w:val="single" w:sz="4" w:space="0" w:color="055961"/>
          <w:insideH w:val="single" w:sz="4" w:space="0" w:color="055961"/>
          <w:insideV w:val="single" w:sz="4" w:space="0" w:color="055961"/>
        </w:tblBorders>
        <w:tblLook w:val="04A0" w:firstRow="1" w:lastRow="0" w:firstColumn="1" w:lastColumn="0" w:noHBand="0" w:noVBand="1"/>
      </w:tblPr>
      <w:tblGrid>
        <w:gridCol w:w="6730"/>
      </w:tblGrid>
      <w:tr w:rsidR="00A00C96" w:rsidRPr="00DD3BF7" w14:paraId="02C14D89" w14:textId="77777777" w:rsidTr="00D1133B">
        <w:trPr>
          <w:trHeight w:val="133"/>
        </w:trPr>
        <w:tc>
          <w:tcPr>
            <w:tcW w:w="6730" w:type="dxa"/>
            <w:shd w:val="clear" w:color="auto" w:fill="AFCA0B"/>
          </w:tcPr>
          <w:p w14:paraId="3F1AD099" w14:textId="42D007F0" w:rsidR="00A00C96" w:rsidRPr="00DD3BF7" w:rsidRDefault="00A00C96" w:rsidP="00D66D35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eastAsia="Times New Roman" w:hAnsiTheme="minorHAnsi" w:cstheme="minorHAnsi"/>
                <w:b/>
              </w:rPr>
              <w:t>Key 2 (for the action priority)</w:t>
            </w:r>
          </w:p>
        </w:tc>
      </w:tr>
      <w:tr w:rsidR="00A00C96" w:rsidRPr="00DD3BF7" w14:paraId="065C8D77" w14:textId="77777777" w:rsidTr="00D66D35">
        <w:trPr>
          <w:trHeight w:val="210"/>
        </w:trPr>
        <w:tc>
          <w:tcPr>
            <w:tcW w:w="6730" w:type="dxa"/>
            <w:shd w:val="clear" w:color="auto" w:fill="FFFFFF" w:themeFill="background1"/>
          </w:tcPr>
          <w:p w14:paraId="4CC82CFA" w14:textId="77777777" w:rsidR="00A00C96" w:rsidRPr="00DD3BF7" w:rsidRDefault="00A00C96" w:rsidP="00D66D35">
            <w:pPr>
              <w:ind w:left="360"/>
              <w:rPr>
                <w:rFonts w:asciiTheme="minorHAnsi" w:hAnsiTheme="minorHAnsi" w:cstheme="minorHAnsi"/>
              </w:rPr>
            </w:pPr>
            <w:r w:rsidRPr="00DD3BF7">
              <w:rPr>
                <w:rFonts w:asciiTheme="minorHAnsi" w:hAnsiTheme="minorHAnsi" w:cstheme="minorHAnsi"/>
              </w:rPr>
              <w:t>High: requires urgent attention (local audit)</w:t>
            </w:r>
          </w:p>
          <w:p w14:paraId="3672531B" w14:textId="77777777" w:rsidR="00A00C96" w:rsidRPr="00DD3BF7" w:rsidRDefault="00A00C96" w:rsidP="00D66D35">
            <w:pPr>
              <w:ind w:left="360"/>
              <w:rPr>
                <w:rFonts w:asciiTheme="minorHAnsi" w:hAnsiTheme="minorHAnsi" w:cstheme="minorHAnsi"/>
              </w:rPr>
            </w:pPr>
            <w:r w:rsidRPr="00DD3BF7">
              <w:rPr>
                <w:rFonts w:asciiTheme="minorHAnsi" w:hAnsiTheme="minorHAnsi" w:cstheme="minorHAnsi"/>
              </w:rPr>
              <w:t>Medium: requires prompt action (consider local audit)</w:t>
            </w:r>
          </w:p>
          <w:p w14:paraId="5AEB0CF2" w14:textId="4C780CD2" w:rsidR="00A00C96" w:rsidRPr="00DD3BF7" w:rsidRDefault="00A00C96" w:rsidP="00D66D35">
            <w:pPr>
              <w:ind w:left="360"/>
              <w:rPr>
                <w:rFonts w:asciiTheme="minorHAnsi" w:hAnsiTheme="minorHAnsi" w:cstheme="minorHAnsi"/>
              </w:rPr>
            </w:pPr>
            <w:r w:rsidRPr="00DD3BF7">
              <w:rPr>
                <w:rFonts w:asciiTheme="minorHAnsi" w:hAnsiTheme="minorHAnsi" w:cstheme="minorHAnsi"/>
              </w:rPr>
              <w:t>Low: requires no immediate action (or local audit)</w:t>
            </w:r>
          </w:p>
        </w:tc>
      </w:tr>
    </w:tbl>
    <w:p w14:paraId="27ABB0C6" w14:textId="77777777" w:rsidR="00A00C96" w:rsidRPr="00DD3BF7" w:rsidRDefault="00A00C96" w:rsidP="00A00C96">
      <w:pPr>
        <w:spacing w:line="360" w:lineRule="auto"/>
        <w:rPr>
          <w:rFonts w:asciiTheme="minorHAnsi" w:hAnsiTheme="minorHAnsi" w:cstheme="minorHAnsi"/>
          <w:sz w:val="28"/>
          <w:szCs w:val="24"/>
          <w:vertAlign w:val="superscript"/>
        </w:rPr>
      </w:pPr>
      <w:r w:rsidRPr="00DD3BF7">
        <w:rPr>
          <w:rFonts w:asciiTheme="minorHAnsi" w:hAnsiTheme="minorHAnsi" w:cstheme="minorHAnsi"/>
          <w:sz w:val="28"/>
          <w:szCs w:val="24"/>
          <w:vertAlign w:val="superscript"/>
        </w:rPr>
        <w:t xml:space="preserve"> </w:t>
      </w:r>
    </w:p>
    <w:p w14:paraId="00A96BA8" w14:textId="77777777" w:rsidR="00A00C96" w:rsidRPr="00DD3BF7" w:rsidRDefault="00A00C96" w:rsidP="00A00C96">
      <w:pPr>
        <w:spacing w:line="360" w:lineRule="auto"/>
        <w:rPr>
          <w:rFonts w:asciiTheme="minorHAnsi" w:hAnsiTheme="minorHAnsi" w:cstheme="minorHAnsi"/>
          <w:b/>
          <w:sz w:val="28"/>
          <w:szCs w:val="24"/>
          <w:vertAlign w:val="superscript"/>
        </w:rPr>
        <w:sectPr w:rsidR="00A00C96" w:rsidRPr="00DD3BF7" w:rsidSect="00A00C96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7E93C9B2" w14:textId="77777777" w:rsidR="00A00C96" w:rsidRPr="00DD3BF7" w:rsidRDefault="00A00C96" w:rsidP="00A00C96">
      <w:pPr>
        <w:spacing w:line="360" w:lineRule="auto"/>
        <w:rPr>
          <w:rFonts w:asciiTheme="minorHAnsi" w:hAnsiTheme="minorHAnsi" w:cstheme="minorHAnsi"/>
          <w:b/>
          <w:sz w:val="28"/>
          <w:szCs w:val="24"/>
          <w:vertAlign w:val="superscript"/>
        </w:rPr>
      </w:pPr>
    </w:p>
    <w:tbl>
      <w:tblPr>
        <w:tblStyle w:val="TableGrid"/>
        <w:tblW w:w="0" w:type="auto"/>
        <w:tblBorders>
          <w:top w:val="single" w:sz="4" w:space="0" w:color="055961"/>
          <w:left w:val="single" w:sz="4" w:space="0" w:color="055961"/>
          <w:bottom w:val="single" w:sz="4" w:space="0" w:color="055961"/>
          <w:right w:val="single" w:sz="4" w:space="0" w:color="055961"/>
          <w:insideH w:val="single" w:sz="4" w:space="0" w:color="055961"/>
          <w:insideV w:val="single" w:sz="4" w:space="0" w:color="055961"/>
        </w:tblBorders>
        <w:tblLook w:val="04A0" w:firstRow="1" w:lastRow="0" w:firstColumn="1" w:lastColumn="0" w:noHBand="0" w:noVBand="1"/>
      </w:tblPr>
      <w:tblGrid>
        <w:gridCol w:w="608"/>
        <w:gridCol w:w="2804"/>
        <w:gridCol w:w="5755"/>
        <w:gridCol w:w="1463"/>
        <w:gridCol w:w="1103"/>
        <w:gridCol w:w="979"/>
        <w:gridCol w:w="971"/>
      </w:tblGrid>
      <w:tr w:rsidR="00D1133B" w:rsidRPr="00DD3BF7" w14:paraId="6F18D0CC" w14:textId="77777777" w:rsidTr="00D1133B">
        <w:tc>
          <w:tcPr>
            <w:tcW w:w="9167" w:type="dxa"/>
            <w:gridSpan w:val="3"/>
            <w:shd w:val="clear" w:color="auto" w:fill="AFCA0B"/>
          </w:tcPr>
          <w:p w14:paraId="06AD9E51" w14:textId="77777777" w:rsidR="00D1133B" w:rsidRPr="00DD3BF7" w:rsidRDefault="00D1133B" w:rsidP="00D66D3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94" w:type="dxa"/>
            <w:gridSpan w:val="4"/>
            <w:shd w:val="clear" w:color="auto" w:fill="AFCA0B"/>
          </w:tcPr>
          <w:p w14:paraId="4D9F309D" w14:textId="60062B11" w:rsidR="00D1133B" w:rsidRPr="00DD3BF7" w:rsidRDefault="00D1133B" w:rsidP="00D66D3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  <w:b/>
              </w:rPr>
              <w:t>Action activities</w:t>
            </w:r>
          </w:p>
        </w:tc>
      </w:tr>
      <w:tr w:rsidR="00D1133B" w:rsidRPr="00DD3BF7" w14:paraId="5D7AFBA8" w14:textId="77777777" w:rsidTr="00D1133B">
        <w:tc>
          <w:tcPr>
            <w:tcW w:w="608" w:type="dxa"/>
            <w:shd w:val="clear" w:color="auto" w:fill="AFCA0B"/>
            <w:vAlign w:val="center"/>
          </w:tcPr>
          <w:p w14:paraId="260F132E" w14:textId="77777777" w:rsidR="00D1133B" w:rsidRPr="00DD3BF7" w:rsidRDefault="00D1133B" w:rsidP="00D1133B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</w:rPr>
              <w:br w:type="page"/>
            </w:r>
            <w:r w:rsidRPr="00DD3BF7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2804" w:type="dxa"/>
            <w:shd w:val="clear" w:color="auto" w:fill="AFCA0B"/>
            <w:vAlign w:val="center"/>
          </w:tcPr>
          <w:p w14:paraId="2B5F82EF" w14:textId="77777777" w:rsidR="00D1133B" w:rsidRPr="00DD3BF7" w:rsidRDefault="00D1133B" w:rsidP="00D1133B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  <w:b/>
              </w:rPr>
              <w:t>Recommendation</w:t>
            </w:r>
          </w:p>
        </w:tc>
        <w:tc>
          <w:tcPr>
            <w:tcW w:w="5755" w:type="dxa"/>
            <w:shd w:val="clear" w:color="auto" w:fill="AFCA0B"/>
            <w:vAlign w:val="center"/>
          </w:tcPr>
          <w:p w14:paraId="0A2EDFA6" w14:textId="1CB38463" w:rsidR="00D1133B" w:rsidRPr="00CD5757" w:rsidRDefault="00D1133B" w:rsidP="00D1133B">
            <w:pPr>
              <w:rPr>
                <w:rFonts w:asciiTheme="minorHAnsi" w:hAnsiTheme="minorHAnsi" w:cstheme="minorHAnsi"/>
                <w:b/>
                <w:strike/>
              </w:rPr>
            </w:pPr>
            <w:r>
              <w:rPr>
                <w:rFonts w:asciiTheme="minorHAnsi" w:hAnsiTheme="minorHAnsi" w:cstheme="minorHAnsi"/>
                <w:b/>
              </w:rPr>
              <w:t>Suggested Actions</w:t>
            </w:r>
          </w:p>
        </w:tc>
        <w:tc>
          <w:tcPr>
            <w:tcW w:w="241" w:type="dxa"/>
            <w:shd w:val="clear" w:color="auto" w:fill="AFCA0B"/>
          </w:tcPr>
          <w:p w14:paraId="43468818" w14:textId="42294790" w:rsidR="00D1133B" w:rsidRPr="00DD3BF7" w:rsidRDefault="00D1133B" w:rsidP="00D66D35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  <w:b/>
              </w:rPr>
              <w:t>Responsible individual(s)</w:t>
            </w:r>
          </w:p>
        </w:tc>
        <w:tc>
          <w:tcPr>
            <w:tcW w:w="1103" w:type="dxa"/>
            <w:shd w:val="clear" w:color="auto" w:fill="AFCA0B"/>
          </w:tcPr>
          <w:p w14:paraId="03DFE1AE" w14:textId="77777777" w:rsidR="00D1133B" w:rsidRPr="00DD3BF7" w:rsidRDefault="00D1133B" w:rsidP="00D66D35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  <w:b/>
              </w:rPr>
              <w:t>Agreed deadline</w:t>
            </w:r>
          </w:p>
        </w:tc>
        <w:tc>
          <w:tcPr>
            <w:tcW w:w="979" w:type="dxa"/>
            <w:shd w:val="clear" w:color="auto" w:fill="AFCA0B"/>
          </w:tcPr>
          <w:p w14:paraId="3EE18556" w14:textId="77777777" w:rsidR="00D1133B" w:rsidRPr="00DD3BF7" w:rsidRDefault="00D1133B" w:rsidP="00D66D35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  <w:b/>
              </w:rPr>
              <w:t>Status (Key 1)</w:t>
            </w:r>
          </w:p>
        </w:tc>
        <w:tc>
          <w:tcPr>
            <w:tcW w:w="971" w:type="dxa"/>
            <w:shd w:val="clear" w:color="auto" w:fill="AFCA0B"/>
          </w:tcPr>
          <w:p w14:paraId="6CC505C3" w14:textId="77777777" w:rsidR="00D1133B" w:rsidRPr="00DD3BF7" w:rsidRDefault="00D1133B" w:rsidP="00D66D35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  <w:b/>
              </w:rPr>
              <w:t xml:space="preserve">Priority (Key 2) </w:t>
            </w:r>
          </w:p>
        </w:tc>
      </w:tr>
      <w:tr w:rsidR="00D1133B" w:rsidRPr="00DD3BF7" w14:paraId="520DC408" w14:textId="77777777" w:rsidTr="00D1133B">
        <w:tc>
          <w:tcPr>
            <w:tcW w:w="608" w:type="dxa"/>
          </w:tcPr>
          <w:p w14:paraId="52153293" w14:textId="77777777" w:rsidR="00D1133B" w:rsidRPr="00CB7367" w:rsidRDefault="00D1133B" w:rsidP="00D66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14:paraId="12420361" w14:textId="07AF5F2E" w:rsidR="00D1133B" w:rsidRPr="007D6002" w:rsidRDefault="00D1133B" w:rsidP="00D1133B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A00C96">
              <w:rPr>
                <w:rFonts w:asciiTheme="minorHAnsi" w:hAnsiTheme="minorHAnsi" w:cstheme="minorHAnsi"/>
                <w:sz w:val="20"/>
                <w:szCs w:val="20"/>
              </w:rPr>
              <w:t xml:space="preserve">NHS hospitals should increase the number of people with a small renal </w:t>
            </w:r>
            <w:r w:rsidRPr="00A00C9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mass who receive a renal mass biopsy to confirm the histological diagnosis, by improving availability of timely diagnostics.</w:t>
            </w:r>
          </w:p>
        </w:tc>
        <w:tc>
          <w:tcPr>
            <w:tcW w:w="5755" w:type="dxa"/>
            <w:shd w:val="clear" w:color="auto" w:fill="auto"/>
          </w:tcPr>
          <w:p w14:paraId="4C5CB809" w14:textId="5C62451E" w:rsidR="00D1133B" w:rsidRPr="00A00C96" w:rsidRDefault="00D1133B" w:rsidP="00D1133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lastRenderedPageBreak/>
              <w:t xml:space="preserve">Review local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implementation of 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renal mass biopsy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, including local rates and referral processes.</w:t>
            </w:r>
          </w:p>
          <w:p w14:paraId="2B1696CC" w14:textId="2D5621FA" w:rsidR="00D1133B" w:rsidRDefault="00D1133B" w:rsidP="00D1133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lastRenderedPageBreak/>
              <w:t>Estimate the number of interventional radiology slots required per week to get patients through this pathway promptly.</w:t>
            </w:r>
          </w:p>
          <w:p w14:paraId="72B54526" w14:textId="44E08E74" w:rsidR="00D1133B" w:rsidRDefault="00D1133B" w:rsidP="00D1133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Monitor turn-around time for radiology and histology reports and develop plans to increase their capacity.</w:t>
            </w:r>
          </w:p>
          <w:p w14:paraId="398D1892" w14:textId="4F488D00" w:rsidR="00D1133B" w:rsidRPr="000B5E0F" w:rsidRDefault="00D1133B" w:rsidP="00D1133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Raise awareness of the advantages of renal mass biopsies to the wider MDT.</w:t>
            </w:r>
          </w:p>
        </w:tc>
        <w:tc>
          <w:tcPr>
            <w:tcW w:w="241" w:type="dxa"/>
          </w:tcPr>
          <w:p w14:paraId="74F47439" w14:textId="773544EA" w:rsidR="00D1133B" w:rsidRPr="00DD3BF7" w:rsidRDefault="00D1133B" w:rsidP="00D66D3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03" w:type="dxa"/>
          </w:tcPr>
          <w:p w14:paraId="611BB115" w14:textId="77777777" w:rsidR="00D1133B" w:rsidRPr="00DD3BF7" w:rsidRDefault="00D1133B" w:rsidP="00D66D35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14:paraId="7E654E90" w14:textId="77777777" w:rsidR="00D1133B" w:rsidRPr="00DD3BF7" w:rsidRDefault="00D1133B" w:rsidP="00D66D35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971" w:type="dxa"/>
          </w:tcPr>
          <w:p w14:paraId="0F83E5A6" w14:textId="77777777" w:rsidR="00D1133B" w:rsidRPr="00DD3BF7" w:rsidRDefault="00D1133B" w:rsidP="00D66D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133B" w:rsidRPr="00DD3BF7" w14:paraId="27E10BBB" w14:textId="77777777" w:rsidTr="00D1133B">
        <w:tc>
          <w:tcPr>
            <w:tcW w:w="608" w:type="dxa"/>
          </w:tcPr>
          <w:p w14:paraId="75263F9E" w14:textId="77777777" w:rsidR="00D1133B" w:rsidRDefault="00D1133B" w:rsidP="00D66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804" w:type="dxa"/>
            <w:shd w:val="clear" w:color="auto" w:fill="auto"/>
          </w:tcPr>
          <w:p w14:paraId="576392FF" w14:textId="39D2D09F" w:rsidR="00D1133B" w:rsidRPr="007D6002" w:rsidRDefault="00D1133B" w:rsidP="00D1133B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A00C96">
              <w:rPr>
                <w:rFonts w:asciiTheme="minorHAnsi" w:hAnsiTheme="minorHAnsi" w:cstheme="minorHAnsi"/>
                <w:sz w:val="20"/>
                <w:szCs w:val="20"/>
              </w:rPr>
              <w:t>Clinical management in organisations need to review pathways for higher risk renal cell carcinoma (RCC) to understand system-level delays and ensure providers treat these people within 31 days.</w:t>
            </w:r>
          </w:p>
        </w:tc>
        <w:tc>
          <w:tcPr>
            <w:tcW w:w="5755" w:type="dxa"/>
            <w:shd w:val="clear" w:color="auto" w:fill="auto"/>
          </w:tcPr>
          <w:p w14:paraId="7D4078B9" w14:textId="41026CCF" w:rsidR="00D1133B" w:rsidRDefault="00D1133B" w:rsidP="00D1133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Network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lead to 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review and check the pathways for renal cell carcinoma with clinical management to understand system level delays.</w:t>
            </w:r>
          </w:p>
          <w:p w14:paraId="780BC8B8" w14:textId="671410C9" w:rsidR="00D1133B" w:rsidRPr="00A00C96" w:rsidRDefault="00D1133B" w:rsidP="00D1133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he lead can also play a key role in advocating 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improvement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s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and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ensuring that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individuals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with higher risk renal cell carcinoma are treated within 31 days from decision to treat.</w:t>
            </w:r>
          </w:p>
          <w:p w14:paraId="12D5CEFD" w14:textId="07D4CC9C" w:rsidR="00D1133B" w:rsidRPr="000B5E0F" w:rsidRDefault="00D1133B" w:rsidP="00D1133B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Provide a streamlined process for regular f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eedback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on quality improvement initiatives for cancer waiting times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to the wider MDT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" w:type="dxa"/>
          </w:tcPr>
          <w:p w14:paraId="2F728E70" w14:textId="464E17D5" w:rsidR="00D1133B" w:rsidRPr="00DD3BF7" w:rsidRDefault="00D1133B" w:rsidP="00D66D3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03" w:type="dxa"/>
          </w:tcPr>
          <w:p w14:paraId="58CF1FF3" w14:textId="77777777" w:rsidR="00D1133B" w:rsidRPr="00DD3BF7" w:rsidRDefault="00D1133B" w:rsidP="00D66D35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14:paraId="1D098F23" w14:textId="77777777" w:rsidR="00D1133B" w:rsidRPr="00DD3BF7" w:rsidRDefault="00D1133B" w:rsidP="00D66D35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971" w:type="dxa"/>
          </w:tcPr>
          <w:p w14:paraId="12C4EDBC" w14:textId="77777777" w:rsidR="00D1133B" w:rsidRDefault="00D1133B" w:rsidP="00D66D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133B" w:rsidRPr="00DD3BF7" w14:paraId="609F3DB5" w14:textId="77777777" w:rsidTr="00D1133B">
        <w:tc>
          <w:tcPr>
            <w:tcW w:w="608" w:type="dxa"/>
          </w:tcPr>
          <w:p w14:paraId="7F8BD4E1" w14:textId="77777777" w:rsidR="00D1133B" w:rsidRDefault="00D1133B" w:rsidP="00A00C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804" w:type="dxa"/>
            <w:shd w:val="clear" w:color="auto" w:fill="auto"/>
          </w:tcPr>
          <w:p w14:paraId="3272B4AC" w14:textId="0532E2DF" w:rsidR="00D1133B" w:rsidRDefault="00D1133B" w:rsidP="00D1133B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00C96">
              <w:rPr>
                <w:rFonts w:asciiTheme="minorHAnsi" w:hAnsiTheme="minorHAnsi" w:cstheme="minorHAnsi"/>
                <w:sz w:val="20"/>
                <w:szCs w:val="20"/>
              </w:rPr>
              <w:t>NHS hospitals need to identify and address reasons why people with kidney cancer, stage T1b-3Nx RCC are not considered for surgical treatment.</w:t>
            </w:r>
          </w:p>
        </w:tc>
        <w:tc>
          <w:tcPr>
            <w:tcW w:w="5755" w:type="dxa"/>
            <w:shd w:val="clear" w:color="auto" w:fill="auto"/>
          </w:tcPr>
          <w:p w14:paraId="2E31E464" w14:textId="77777777" w:rsidR="00D1133B" w:rsidRPr="00A00C96" w:rsidRDefault="00D1133B" w:rsidP="00D1133B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 w:val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Ensure documentation of whether patients eligible for radical treatment are offered it and reasons for not allocating, if appropriate.</w:t>
            </w:r>
          </w:p>
          <w:p w14:paraId="05E871A3" w14:textId="05D63CC5" w:rsidR="00D1133B" w:rsidRPr="00A00C96" w:rsidRDefault="00D1133B" w:rsidP="00D1133B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 w:val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Assess fitness for treatment regardless of chronological age and consider referral to </w:t>
            </w:r>
            <w:proofErr w:type="spellStart"/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oncogeriatric</w:t>
            </w:r>
            <w:proofErr w:type="spellEnd"/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services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or anaesthetic assessment clinics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, if appropriate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and available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" w:type="dxa"/>
          </w:tcPr>
          <w:p w14:paraId="415C3C9A" w14:textId="22943982" w:rsidR="00D1133B" w:rsidRPr="00DD3BF7" w:rsidRDefault="00D1133B" w:rsidP="00A00C9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03" w:type="dxa"/>
          </w:tcPr>
          <w:p w14:paraId="0A8DB73E" w14:textId="77777777" w:rsidR="00D1133B" w:rsidRPr="00DD3BF7" w:rsidRDefault="00D1133B" w:rsidP="00A00C96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14:paraId="79BB6A16" w14:textId="77777777" w:rsidR="00D1133B" w:rsidRPr="00DD3BF7" w:rsidRDefault="00D1133B" w:rsidP="00A00C96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971" w:type="dxa"/>
          </w:tcPr>
          <w:p w14:paraId="25E1C069" w14:textId="77777777" w:rsidR="00D1133B" w:rsidRDefault="00D1133B" w:rsidP="00A00C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133B" w:rsidRPr="00DD3BF7" w14:paraId="7D5049F9" w14:textId="77777777" w:rsidTr="00D1133B">
        <w:tc>
          <w:tcPr>
            <w:tcW w:w="608" w:type="dxa"/>
          </w:tcPr>
          <w:p w14:paraId="580F201F" w14:textId="77777777" w:rsidR="00D1133B" w:rsidRDefault="00D1133B" w:rsidP="00A00C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804" w:type="dxa"/>
            <w:shd w:val="clear" w:color="auto" w:fill="auto"/>
          </w:tcPr>
          <w:p w14:paraId="57501728" w14:textId="5E5B7916" w:rsidR="00D1133B" w:rsidRDefault="00D1133B" w:rsidP="00D1133B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00C96">
              <w:rPr>
                <w:rFonts w:asciiTheme="minorHAnsi" w:hAnsiTheme="minorHAnsi" w:cstheme="minorHAnsi"/>
                <w:sz w:val="20"/>
                <w:szCs w:val="20"/>
              </w:rPr>
              <w:t xml:space="preserve">Providers should ensure that people with kidney cancer, stage T1aN0M0 RCC are discussed in specialist multidisciplinary team meetings and offered </w:t>
            </w:r>
            <w:r w:rsidRPr="00A00C9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nephron sparing treatment where appropriate.</w:t>
            </w:r>
          </w:p>
        </w:tc>
        <w:tc>
          <w:tcPr>
            <w:tcW w:w="5755" w:type="dxa"/>
            <w:shd w:val="clear" w:color="auto" w:fill="auto"/>
          </w:tcPr>
          <w:p w14:paraId="46E7FBD0" w14:textId="06E5F2FD" w:rsidR="00D1133B" w:rsidRPr="00A00C96" w:rsidRDefault="00D1133B" w:rsidP="00D1133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lastRenderedPageBreak/>
              <w:t xml:space="preserve">Where a service is not available, e.g. thermal ablation or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robotic 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partial nephrectomy, ensure clear pathways of referral within or across </w:t>
            </w:r>
            <w:proofErr w:type="spellStart"/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sMDTs</w:t>
            </w:r>
            <w:proofErr w:type="spellEnd"/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. Ensure information on these services is made available to patients.</w:t>
            </w:r>
          </w:p>
        </w:tc>
        <w:tc>
          <w:tcPr>
            <w:tcW w:w="241" w:type="dxa"/>
          </w:tcPr>
          <w:p w14:paraId="4CB423FE" w14:textId="5D3E2738" w:rsidR="00D1133B" w:rsidRPr="00DD3BF7" w:rsidRDefault="00D1133B" w:rsidP="00A00C9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03" w:type="dxa"/>
          </w:tcPr>
          <w:p w14:paraId="35D5A16A" w14:textId="77777777" w:rsidR="00D1133B" w:rsidRPr="00DD3BF7" w:rsidRDefault="00D1133B" w:rsidP="00A00C96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14:paraId="5F9E26B0" w14:textId="77777777" w:rsidR="00D1133B" w:rsidRPr="00DD3BF7" w:rsidRDefault="00D1133B" w:rsidP="00A00C96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971" w:type="dxa"/>
          </w:tcPr>
          <w:p w14:paraId="513F1D35" w14:textId="77777777" w:rsidR="00D1133B" w:rsidRDefault="00D1133B" w:rsidP="00A00C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133B" w:rsidRPr="00DD3BF7" w14:paraId="5C03EF90" w14:textId="77777777" w:rsidTr="00D1133B">
        <w:tc>
          <w:tcPr>
            <w:tcW w:w="608" w:type="dxa"/>
          </w:tcPr>
          <w:p w14:paraId="0C32DFDA" w14:textId="77777777" w:rsidR="00D1133B" w:rsidRDefault="00D1133B" w:rsidP="00A00C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804" w:type="dxa"/>
            <w:shd w:val="clear" w:color="auto" w:fill="auto"/>
          </w:tcPr>
          <w:p w14:paraId="16C2748E" w14:textId="1407139C" w:rsidR="00D1133B" w:rsidRPr="00617AA2" w:rsidRDefault="00D1133B" w:rsidP="00D1133B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00C96">
              <w:rPr>
                <w:rFonts w:asciiTheme="minorHAnsi" w:hAnsiTheme="minorHAnsi" w:cstheme="minorHAnsi"/>
                <w:sz w:val="20"/>
                <w:szCs w:val="20"/>
              </w:rPr>
              <w:t>People diagnosed with metastatic RCC should be evaluated by a medical/clinical oncologist with expertise in renal cancer management and receive systemic anti-cancer therapy (SACT).</w:t>
            </w:r>
          </w:p>
        </w:tc>
        <w:tc>
          <w:tcPr>
            <w:tcW w:w="5755" w:type="dxa"/>
            <w:shd w:val="clear" w:color="auto" w:fill="auto"/>
          </w:tcPr>
          <w:p w14:paraId="7C06AEF8" w14:textId="3DD56BF3" w:rsidR="00D1133B" w:rsidRPr="00A00C96" w:rsidRDefault="00D1133B" w:rsidP="00D1133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Oncologist with specialist interest in renal cancer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to oversee management of metastatic RCC pathways, working with the clinical teams to identify barriers to SACT.</w:t>
            </w:r>
          </w:p>
          <w:p w14:paraId="3869BB95" w14:textId="7C719450" w:rsidR="00D1133B" w:rsidRPr="00A00C96" w:rsidRDefault="00D1133B" w:rsidP="00D1133B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Ensure documentation of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a comprehensive geriatric assessment and 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whether patients eligible for SACT are offered it and reasons for not allocating, if appropriate.</w:t>
            </w:r>
          </w:p>
          <w:p w14:paraId="6823DABD" w14:textId="3C12F1DC" w:rsidR="00D1133B" w:rsidRPr="00A00C96" w:rsidRDefault="00D1133B" w:rsidP="00D1133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Offer appropriate supportive services for people with metastatic kidney cancer including counselling and management for those experiencing treatment-related complications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, such as immune oncology toxicity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.</w:t>
            </w:r>
          </w:p>
          <w:p w14:paraId="4AF658D6" w14:textId="3EA787D6" w:rsidR="00D1133B" w:rsidRPr="00CD5757" w:rsidRDefault="00D1133B" w:rsidP="00D1133B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Assess fitness for treatment regardless of chronological age and consider referral to </w:t>
            </w:r>
            <w:proofErr w:type="spellStart"/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oncogeriatric</w:t>
            </w:r>
            <w:proofErr w:type="spellEnd"/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services, if appropriate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and available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" w:type="dxa"/>
          </w:tcPr>
          <w:p w14:paraId="67BAE707" w14:textId="4B3ADA60" w:rsidR="00D1133B" w:rsidRPr="00DD3BF7" w:rsidRDefault="00D1133B" w:rsidP="00A00C9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03" w:type="dxa"/>
          </w:tcPr>
          <w:p w14:paraId="083DEDDC" w14:textId="77777777" w:rsidR="00D1133B" w:rsidRPr="00DD3BF7" w:rsidRDefault="00D1133B" w:rsidP="00A00C96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14:paraId="4ADABD21" w14:textId="77777777" w:rsidR="00D1133B" w:rsidRPr="00DD3BF7" w:rsidRDefault="00D1133B" w:rsidP="00A00C96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971" w:type="dxa"/>
          </w:tcPr>
          <w:p w14:paraId="44967B45" w14:textId="77777777" w:rsidR="00D1133B" w:rsidRDefault="00D1133B" w:rsidP="00A00C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0A5DED" w14:textId="77777777" w:rsidR="00A00C96" w:rsidRPr="00DD3BF7" w:rsidRDefault="00A00C96" w:rsidP="00A00C96">
      <w:pPr>
        <w:rPr>
          <w:rFonts w:asciiTheme="minorHAnsi" w:hAnsiTheme="minorHAnsi" w:cstheme="minorHAnsi"/>
        </w:rPr>
      </w:pPr>
    </w:p>
    <w:p w14:paraId="0EC2152F" w14:textId="52FB6043" w:rsidR="00A00C96" w:rsidRPr="00DD3BF7" w:rsidRDefault="00A00C96" w:rsidP="00A00C96">
      <w:pPr>
        <w:rPr>
          <w:rFonts w:asciiTheme="minorHAnsi" w:hAnsiTheme="minorHAnsi" w:cstheme="minorHAnsi"/>
        </w:rPr>
      </w:pPr>
      <w:r w:rsidRPr="00DD3BF7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NKCA</w:t>
      </w:r>
      <w:r w:rsidRPr="00DD3BF7">
        <w:rPr>
          <w:rFonts w:asciiTheme="minorHAnsi" w:hAnsiTheme="minorHAnsi" w:cstheme="minorHAnsi"/>
        </w:rPr>
        <w:t xml:space="preserve"> welcome your feedback on this quality improvement template to be used in conjunction with the </w:t>
      </w:r>
      <w:r>
        <w:rPr>
          <w:rFonts w:asciiTheme="minorHAnsi" w:hAnsiTheme="minorHAnsi" w:cstheme="minorHAnsi"/>
        </w:rPr>
        <w:t>NKCA</w:t>
      </w:r>
      <w:r w:rsidRPr="00DD3BF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State of the Nation</w:t>
      </w:r>
      <w:r w:rsidRPr="00DD3BF7">
        <w:rPr>
          <w:rFonts w:asciiTheme="minorHAnsi" w:hAnsiTheme="minorHAnsi" w:cstheme="minorHAnsi"/>
        </w:rPr>
        <w:t xml:space="preserve"> Repor</w:t>
      </w:r>
      <w:r>
        <w:rPr>
          <w:rFonts w:asciiTheme="minorHAnsi" w:hAnsiTheme="minorHAnsi" w:cstheme="minorHAnsi"/>
        </w:rPr>
        <w:t>t 2024</w:t>
      </w:r>
      <w:r w:rsidRPr="00DD3BF7">
        <w:rPr>
          <w:rFonts w:asciiTheme="minorHAnsi" w:hAnsiTheme="minorHAnsi" w:cstheme="minorHAnsi"/>
        </w:rPr>
        <w:t xml:space="preserve"> provider level results and quality improvement resources presented on our website.</w:t>
      </w:r>
    </w:p>
    <w:p w14:paraId="46B35582" w14:textId="77777777" w:rsidR="00A00C96" w:rsidRPr="00DD3BF7" w:rsidRDefault="00A00C96" w:rsidP="00A00C96">
      <w:pPr>
        <w:rPr>
          <w:rFonts w:asciiTheme="minorHAnsi" w:hAnsiTheme="minorHAnsi" w:cstheme="minorHAnsi"/>
        </w:rPr>
      </w:pPr>
    </w:p>
    <w:p w14:paraId="68E44739" w14:textId="5F462106" w:rsidR="00A00C96" w:rsidRPr="00DD3BF7" w:rsidRDefault="00A00C96" w:rsidP="00A00C96">
      <w:pPr>
        <w:rPr>
          <w:rFonts w:asciiTheme="minorHAnsi" w:hAnsiTheme="minorHAnsi" w:cstheme="minorHAnsi"/>
        </w:rPr>
      </w:pPr>
      <w:r w:rsidRPr="00DD3BF7">
        <w:rPr>
          <w:rFonts w:asciiTheme="minorHAnsi" w:hAnsiTheme="minorHAnsi" w:cstheme="minorHAnsi"/>
        </w:rPr>
        <w:t xml:space="preserve">Please contact the </w:t>
      </w:r>
      <w:r>
        <w:rPr>
          <w:rFonts w:asciiTheme="minorHAnsi" w:hAnsiTheme="minorHAnsi" w:cstheme="minorHAnsi"/>
        </w:rPr>
        <w:t>NKCA</w:t>
      </w:r>
      <w:r w:rsidRPr="00DD3BF7">
        <w:rPr>
          <w:rFonts w:asciiTheme="minorHAnsi" w:hAnsiTheme="minorHAnsi" w:cstheme="minorHAnsi"/>
        </w:rPr>
        <w:t xml:space="preserve"> team </w:t>
      </w:r>
      <w:hyperlink r:id="rId15" w:history="1">
        <w:r w:rsidRPr="00133323">
          <w:rPr>
            <w:rStyle w:val="Hyperlink"/>
            <w:rFonts w:asciiTheme="minorHAnsi" w:hAnsiTheme="minorHAnsi" w:cstheme="minorHAnsi"/>
          </w:rPr>
          <w:t>Kidneycanceraudit@rcseng.ac.uk</w:t>
        </w:r>
      </w:hyperlink>
      <w:r>
        <w:rPr>
          <w:rFonts w:asciiTheme="minorHAnsi" w:hAnsiTheme="minorHAnsi" w:cstheme="minorHAnsi"/>
        </w:rPr>
        <w:t xml:space="preserve"> </w:t>
      </w:r>
      <w:r w:rsidRPr="00DD3BF7">
        <w:rPr>
          <w:rFonts w:asciiTheme="minorHAnsi" w:hAnsiTheme="minorHAnsi" w:cstheme="minorHAnsi"/>
        </w:rPr>
        <w:t>if you have any questions related to your results, data collection or service improvement.</w:t>
      </w:r>
    </w:p>
    <w:p w14:paraId="188D3E3C" w14:textId="77777777" w:rsidR="00A00C96" w:rsidRPr="00DD3BF7" w:rsidRDefault="00A00C96" w:rsidP="00A00C96">
      <w:pPr>
        <w:rPr>
          <w:rFonts w:asciiTheme="minorHAnsi" w:hAnsiTheme="minorHAnsi" w:cstheme="minorHAnsi"/>
        </w:rPr>
      </w:pPr>
    </w:p>
    <w:p w14:paraId="7D99462E" w14:textId="77777777" w:rsidR="00A00C96" w:rsidRPr="00611EB7" w:rsidRDefault="00A00C96" w:rsidP="00A00C96">
      <w:pPr>
        <w:rPr>
          <w:rFonts w:asciiTheme="minorHAnsi" w:hAnsiTheme="minorHAnsi" w:cstheme="minorHAnsi"/>
        </w:rPr>
      </w:pPr>
      <w:r w:rsidRPr="00611EB7">
        <w:rPr>
          <w:rFonts w:asciiTheme="minorHAnsi" w:hAnsiTheme="minorHAnsi" w:cstheme="minorHAnsi"/>
          <w:b/>
        </w:rPr>
        <w:t>References</w:t>
      </w:r>
    </w:p>
    <w:p w14:paraId="7C26505D" w14:textId="7A5638DC" w:rsidR="00A00C96" w:rsidRPr="006F024E" w:rsidRDefault="00497D75" w:rsidP="00A00C96">
      <w:pPr>
        <w:numPr>
          <w:ilvl w:val="0"/>
          <w:numId w:val="3"/>
        </w:numPr>
        <w:contextualSpacing/>
        <w:rPr>
          <w:rFonts w:asciiTheme="minorHAnsi" w:hAnsiTheme="minorHAnsi" w:cstheme="minorHAnsi"/>
          <w:sz w:val="20"/>
          <w:szCs w:val="20"/>
        </w:rPr>
      </w:pPr>
      <w:hyperlink r:id="rId16" w:history="1">
        <w:r w:rsidR="00A00C96" w:rsidRPr="00497D75">
          <w:rPr>
            <w:rStyle w:val="Hyperlink"/>
            <w:rFonts w:asciiTheme="minorHAnsi" w:hAnsiTheme="minorHAnsi" w:cstheme="minorHAnsi"/>
            <w:sz w:val="20"/>
            <w:szCs w:val="20"/>
          </w:rPr>
          <w:t>NKCA State of the Nation Report 2024</w:t>
        </w:r>
      </w:hyperlink>
    </w:p>
    <w:p w14:paraId="00B84D0B" w14:textId="77777777" w:rsidR="00A00C96" w:rsidRPr="000E6FDB" w:rsidRDefault="00A00C96" w:rsidP="00A00C96">
      <w:pPr>
        <w:ind w:left="720"/>
        <w:contextualSpacing/>
        <w:rPr>
          <w:rFonts w:asciiTheme="minorHAnsi" w:hAnsiTheme="minorHAnsi" w:cstheme="minorHAnsi"/>
          <w:sz w:val="20"/>
          <w:szCs w:val="20"/>
        </w:rPr>
      </w:pPr>
    </w:p>
    <w:p w14:paraId="3A63A967" w14:textId="77777777" w:rsidR="00B36B90" w:rsidRDefault="00B36B90"/>
    <w:sectPr w:rsidR="00B36B90" w:rsidSect="00A00C96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B51C4" w14:textId="77777777" w:rsidR="00FB6B66" w:rsidRDefault="00FB6B66" w:rsidP="00A00C96">
      <w:pPr>
        <w:spacing w:line="240" w:lineRule="auto"/>
      </w:pPr>
      <w:r>
        <w:separator/>
      </w:r>
    </w:p>
  </w:endnote>
  <w:endnote w:type="continuationSeparator" w:id="0">
    <w:p w14:paraId="75F9F698" w14:textId="77777777" w:rsidR="00FB6B66" w:rsidRDefault="00FB6B66" w:rsidP="00A00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82C38" w14:textId="77777777" w:rsidR="00A00C96" w:rsidRDefault="00A00C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8015F" w14:textId="77777777" w:rsidR="00A00C96" w:rsidRDefault="00A00C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9B3FE" w14:textId="77777777" w:rsidR="00A00C96" w:rsidRDefault="00A00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C2E8B" w14:textId="77777777" w:rsidR="00FB6B66" w:rsidRDefault="00FB6B66" w:rsidP="00A00C96">
      <w:pPr>
        <w:spacing w:line="240" w:lineRule="auto"/>
      </w:pPr>
      <w:r>
        <w:separator/>
      </w:r>
    </w:p>
  </w:footnote>
  <w:footnote w:type="continuationSeparator" w:id="0">
    <w:p w14:paraId="4FFE878D" w14:textId="77777777" w:rsidR="00FB6B66" w:rsidRDefault="00FB6B66" w:rsidP="00A00C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284AD" w14:textId="77777777" w:rsidR="00A00C96" w:rsidRDefault="00A00C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6E195" w14:textId="77777777" w:rsidR="005E2699" w:rsidRDefault="005E2699" w:rsidP="00FE37E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BF952" w14:textId="77777777" w:rsidR="00A00C96" w:rsidRDefault="00A00C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4603F"/>
    <w:multiLevelType w:val="hybridMultilevel"/>
    <w:tmpl w:val="843EA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635D6"/>
    <w:multiLevelType w:val="hybridMultilevel"/>
    <w:tmpl w:val="AFB43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23A5"/>
    <w:multiLevelType w:val="hybridMultilevel"/>
    <w:tmpl w:val="9BEC5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3446D"/>
    <w:multiLevelType w:val="hybridMultilevel"/>
    <w:tmpl w:val="B324E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732F0"/>
    <w:multiLevelType w:val="hybridMultilevel"/>
    <w:tmpl w:val="BEF8E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B683C"/>
    <w:multiLevelType w:val="hybridMultilevel"/>
    <w:tmpl w:val="7D56C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53589"/>
    <w:multiLevelType w:val="hybridMultilevel"/>
    <w:tmpl w:val="FDDCADEE"/>
    <w:lvl w:ilvl="0" w:tplc="1E1C59DC">
      <w:start w:val="1"/>
      <w:numFmt w:val="decimal"/>
      <w:lvlText w:val="%1."/>
      <w:lvlJc w:val="left"/>
      <w:pPr>
        <w:ind w:left="1020" w:hanging="360"/>
      </w:pPr>
    </w:lvl>
    <w:lvl w:ilvl="1" w:tplc="BFD02234">
      <w:start w:val="1"/>
      <w:numFmt w:val="decimal"/>
      <w:lvlText w:val="%2."/>
      <w:lvlJc w:val="left"/>
      <w:pPr>
        <w:ind w:left="1020" w:hanging="360"/>
      </w:pPr>
    </w:lvl>
    <w:lvl w:ilvl="2" w:tplc="712AE65A">
      <w:start w:val="1"/>
      <w:numFmt w:val="decimal"/>
      <w:lvlText w:val="%3."/>
      <w:lvlJc w:val="left"/>
      <w:pPr>
        <w:ind w:left="1020" w:hanging="360"/>
      </w:pPr>
    </w:lvl>
    <w:lvl w:ilvl="3" w:tplc="C7B605F2">
      <w:start w:val="1"/>
      <w:numFmt w:val="decimal"/>
      <w:lvlText w:val="%4."/>
      <w:lvlJc w:val="left"/>
      <w:pPr>
        <w:ind w:left="1020" w:hanging="360"/>
      </w:pPr>
    </w:lvl>
    <w:lvl w:ilvl="4" w:tplc="5D5876BA">
      <w:start w:val="1"/>
      <w:numFmt w:val="decimal"/>
      <w:lvlText w:val="%5."/>
      <w:lvlJc w:val="left"/>
      <w:pPr>
        <w:ind w:left="1020" w:hanging="360"/>
      </w:pPr>
    </w:lvl>
    <w:lvl w:ilvl="5" w:tplc="4F083470">
      <w:start w:val="1"/>
      <w:numFmt w:val="decimal"/>
      <w:lvlText w:val="%6."/>
      <w:lvlJc w:val="left"/>
      <w:pPr>
        <w:ind w:left="1020" w:hanging="360"/>
      </w:pPr>
    </w:lvl>
    <w:lvl w:ilvl="6" w:tplc="31588256">
      <w:start w:val="1"/>
      <w:numFmt w:val="decimal"/>
      <w:lvlText w:val="%7."/>
      <w:lvlJc w:val="left"/>
      <w:pPr>
        <w:ind w:left="1020" w:hanging="360"/>
      </w:pPr>
    </w:lvl>
    <w:lvl w:ilvl="7" w:tplc="C254A9C8">
      <w:start w:val="1"/>
      <w:numFmt w:val="decimal"/>
      <w:lvlText w:val="%8."/>
      <w:lvlJc w:val="left"/>
      <w:pPr>
        <w:ind w:left="1020" w:hanging="360"/>
      </w:pPr>
    </w:lvl>
    <w:lvl w:ilvl="8" w:tplc="EB689AB2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7860585E"/>
    <w:multiLevelType w:val="hybridMultilevel"/>
    <w:tmpl w:val="CF3E0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16D14"/>
    <w:multiLevelType w:val="hybridMultilevel"/>
    <w:tmpl w:val="5D6A3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877125">
    <w:abstractNumId w:val="7"/>
  </w:num>
  <w:num w:numId="2" w16cid:durableId="1345089159">
    <w:abstractNumId w:val="1"/>
  </w:num>
  <w:num w:numId="3" w16cid:durableId="14814248">
    <w:abstractNumId w:val="8"/>
  </w:num>
  <w:num w:numId="4" w16cid:durableId="1362822044">
    <w:abstractNumId w:val="0"/>
  </w:num>
  <w:num w:numId="5" w16cid:durableId="851913103">
    <w:abstractNumId w:val="5"/>
  </w:num>
  <w:num w:numId="6" w16cid:durableId="1820069374">
    <w:abstractNumId w:val="4"/>
  </w:num>
  <w:num w:numId="7" w16cid:durableId="968895274">
    <w:abstractNumId w:val="3"/>
  </w:num>
  <w:num w:numId="8" w16cid:durableId="1770345493">
    <w:abstractNumId w:val="2"/>
  </w:num>
  <w:num w:numId="9" w16cid:durableId="3812943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96"/>
    <w:rsid w:val="000224C3"/>
    <w:rsid w:val="000365C1"/>
    <w:rsid w:val="00052D05"/>
    <w:rsid w:val="00053BE9"/>
    <w:rsid w:val="00054E70"/>
    <w:rsid w:val="00057F47"/>
    <w:rsid w:val="00076A80"/>
    <w:rsid w:val="000835FE"/>
    <w:rsid w:val="000B5E0F"/>
    <w:rsid w:val="000E5A07"/>
    <w:rsid w:val="001020AE"/>
    <w:rsid w:val="00114700"/>
    <w:rsid w:val="001206F0"/>
    <w:rsid w:val="00130071"/>
    <w:rsid w:val="00137B3C"/>
    <w:rsid w:val="00176723"/>
    <w:rsid w:val="00184314"/>
    <w:rsid w:val="001A7649"/>
    <w:rsid w:val="001C28E0"/>
    <w:rsid w:val="001D5339"/>
    <w:rsid w:val="001E4A1D"/>
    <w:rsid w:val="00213074"/>
    <w:rsid w:val="00213C78"/>
    <w:rsid w:val="002224B4"/>
    <w:rsid w:val="00252A05"/>
    <w:rsid w:val="00266EDA"/>
    <w:rsid w:val="00275B01"/>
    <w:rsid w:val="00297270"/>
    <w:rsid w:val="002B6FCD"/>
    <w:rsid w:val="002B7AF4"/>
    <w:rsid w:val="002E089E"/>
    <w:rsid w:val="0030354F"/>
    <w:rsid w:val="0030695D"/>
    <w:rsid w:val="00354B8E"/>
    <w:rsid w:val="00376D56"/>
    <w:rsid w:val="00393717"/>
    <w:rsid w:val="003A65BF"/>
    <w:rsid w:val="003C0737"/>
    <w:rsid w:val="003D5636"/>
    <w:rsid w:val="003D7A63"/>
    <w:rsid w:val="003F0601"/>
    <w:rsid w:val="00412EA8"/>
    <w:rsid w:val="0044575D"/>
    <w:rsid w:val="00471E0D"/>
    <w:rsid w:val="00494618"/>
    <w:rsid w:val="00497D75"/>
    <w:rsid w:val="004B26A8"/>
    <w:rsid w:val="004B7696"/>
    <w:rsid w:val="004C7420"/>
    <w:rsid w:val="004E49C9"/>
    <w:rsid w:val="0052229E"/>
    <w:rsid w:val="00525029"/>
    <w:rsid w:val="00532DD9"/>
    <w:rsid w:val="00542964"/>
    <w:rsid w:val="00553CC1"/>
    <w:rsid w:val="00576AAC"/>
    <w:rsid w:val="00580FA9"/>
    <w:rsid w:val="00595F56"/>
    <w:rsid w:val="005A536E"/>
    <w:rsid w:val="005A6674"/>
    <w:rsid w:val="005C2992"/>
    <w:rsid w:val="005E2699"/>
    <w:rsid w:val="005F4397"/>
    <w:rsid w:val="005F4EC9"/>
    <w:rsid w:val="00631630"/>
    <w:rsid w:val="00645CCC"/>
    <w:rsid w:val="00681D11"/>
    <w:rsid w:val="0068509E"/>
    <w:rsid w:val="006D46C9"/>
    <w:rsid w:val="006F5750"/>
    <w:rsid w:val="007067FD"/>
    <w:rsid w:val="007238EC"/>
    <w:rsid w:val="0073079F"/>
    <w:rsid w:val="00753906"/>
    <w:rsid w:val="00761EED"/>
    <w:rsid w:val="00774ABE"/>
    <w:rsid w:val="0077533D"/>
    <w:rsid w:val="00794DE6"/>
    <w:rsid w:val="007E47E7"/>
    <w:rsid w:val="007F564A"/>
    <w:rsid w:val="00835D9A"/>
    <w:rsid w:val="008519C7"/>
    <w:rsid w:val="00895CF5"/>
    <w:rsid w:val="008B65C9"/>
    <w:rsid w:val="008C23F9"/>
    <w:rsid w:val="008E1235"/>
    <w:rsid w:val="008E2271"/>
    <w:rsid w:val="009001BA"/>
    <w:rsid w:val="00923699"/>
    <w:rsid w:val="00924A6E"/>
    <w:rsid w:val="00927B2D"/>
    <w:rsid w:val="009C0056"/>
    <w:rsid w:val="009F4D14"/>
    <w:rsid w:val="00A00C96"/>
    <w:rsid w:val="00A20CA0"/>
    <w:rsid w:val="00A22C81"/>
    <w:rsid w:val="00A57E4F"/>
    <w:rsid w:val="00A66844"/>
    <w:rsid w:val="00A77467"/>
    <w:rsid w:val="00AB7459"/>
    <w:rsid w:val="00AD6968"/>
    <w:rsid w:val="00B076F8"/>
    <w:rsid w:val="00B129A1"/>
    <w:rsid w:val="00B20AA1"/>
    <w:rsid w:val="00B22D33"/>
    <w:rsid w:val="00B36B90"/>
    <w:rsid w:val="00B57F20"/>
    <w:rsid w:val="00B60D7E"/>
    <w:rsid w:val="00B63B5C"/>
    <w:rsid w:val="00B767C4"/>
    <w:rsid w:val="00BB4F3E"/>
    <w:rsid w:val="00BB7C1F"/>
    <w:rsid w:val="00BC0496"/>
    <w:rsid w:val="00BC4545"/>
    <w:rsid w:val="00BD0A6D"/>
    <w:rsid w:val="00C15737"/>
    <w:rsid w:val="00C325ED"/>
    <w:rsid w:val="00C36138"/>
    <w:rsid w:val="00C46816"/>
    <w:rsid w:val="00C531A4"/>
    <w:rsid w:val="00CB71DC"/>
    <w:rsid w:val="00CD5757"/>
    <w:rsid w:val="00CD7A95"/>
    <w:rsid w:val="00CF00D3"/>
    <w:rsid w:val="00D1133B"/>
    <w:rsid w:val="00D25A4C"/>
    <w:rsid w:val="00D340B0"/>
    <w:rsid w:val="00D35A1D"/>
    <w:rsid w:val="00DA7944"/>
    <w:rsid w:val="00DB635E"/>
    <w:rsid w:val="00DD357A"/>
    <w:rsid w:val="00DF2A78"/>
    <w:rsid w:val="00DF7BFF"/>
    <w:rsid w:val="00E0503A"/>
    <w:rsid w:val="00E27AF5"/>
    <w:rsid w:val="00E36530"/>
    <w:rsid w:val="00E642F2"/>
    <w:rsid w:val="00E814D6"/>
    <w:rsid w:val="00E84B6C"/>
    <w:rsid w:val="00E90058"/>
    <w:rsid w:val="00EA51D1"/>
    <w:rsid w:val="00EA7FDA"/>
    <w:rsid w:val="00EC7ED2"/>
    <w:rsid w:val="00EC7FF7"/>
    <w:rsid w:val="00EE5E2A"/>
    <w:rsid w:val="00F1455E"/>
    <w:rsid w:val="00F23AE2"/>
    <w:rsid w:val="00F36783"/>
    <w:rsid w:val="00F52507"/>
    <w:rsid w:val="00F77FA8"/>
    <w:rsid w:val="00F8190A"/>
    <w:rsid w:val="00FB6B66"/>
    <w:rsid w:val="00FC7654"/>
    <w:rsid w:val="00FE3014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07E03"/>
  <w14:defaultImageDpi w14:val="32767"/>
  <w15:chartTrackingRefBased/>
  <w15:docId w15:val="{3ED01E56-4B1E-E643-B4E0-19C377BE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RCS Normal"/>
    <w:qFormat/>
    <w:rsid w:val="00A00C96"/>
    <w:pPr>
      <w:spacing w:line="259" w:lineRule="auto"/>
    </w:pPr>
    <w:rPr>
      <w:rFonts w:ascii="Arial" w:hAnsi="Arial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C9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00C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0C9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C96"/>
    <w:rPr>
      <w:rFonts w:ascii="Arial" w:hAnsi="Arial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A00C96"/>
    <w:rPr>
      <w:color w:val="467886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00C96"/>
    <w:rPr>
      <w:rFonts w:ascii="Arial" w:hAnsi="Arial"/>
      <w:kern w:val="0"/>
      <w:sz w:val="22"/>
      <w:szCs w:val="22"/>
      <w14:ligatures w14:val="none"/>
    </w:rPr>
  </w:style>
  <w:style w:type="table" w:styleId="GridTable1Light-Accent3">
    <w:name w:val="Grid Table 1 Light Accent 3"/>
    <w:basedOn w:val="TableNormal"/>
    <w:uiPriority w:val="46"/>
    <w:rsid w:val="00A00C96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A00C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C96"/>
    <w:rPr>
      <w:rFonts w:ascii="Arial" w:hAnsi="Arial"/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rsid w:val="00A00C9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3074"/>
    <w:rPr>
      <w:rFonts w:ascii="Arial" w:hAnsi="Arial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13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30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3074"/>
    <w:rPr>
      <w:rFonts w:ascii="Arial" w:hAnsi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074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atcan.org.uk/reports/nkca-state-of-the-nation-report-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Kidneycanceraudit@rcseng.ac.uk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61A80-4F36-49EF-8166-FD57360C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Marina Parry</cp:lastModifiedBy>
  <cp:revision>6</cp:revision>
  <dcterms:created xsi:type="dcterms:W3CDTF">2024-09-09T10:32:00Z</dcterms:created>
  <dcterms:modified xsi:type="dcterms:W3CDTF">2024-09-10T11:45:00Z</dcterms:modified>
</cp:coreProperties>
</file>