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5E9D" w14:textId="1A3410A0" w:rsidR="00236AA9" w:rsidRDefault="00236AA9" w:rsidP="00236AA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8B95609" wp14:editId="78DB069E">
            <wp:simplePos x="0" y="0"/>
            <wp:positionH relativeFrom="column">
              <wp:posOffset>6200775</wp:posOffset>
            </wp:positionH>
            <wp:positionV relativeFrom="paragraph">
              <wp:posOffset>-560070</wp:posOffset>
            </wp:positionV>
            <wp:extent cx="2617200" cy="1105200"/>
            <wp:effectExtent l="0" t="0" r="0" b="0"/>
            <wp:wrapNone/>
            <wp:docPr id="1578862730" name="Picture 1" descr="A logo with a blue hexagon and black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62730" name="Picture 1" descr="A logo with a blue hexagon and black and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2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80E56C" w14:textId="77777777" w:rsidR="00236AA9" w:rsidRDefault="00236AA9" w:rsidP="00236AA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0DFBDB" w14:textId="77777777" w:rsidR="00236AA9" w:rsidRDefault="00236AA9" w:rsidP="00236AA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3CF8495" w14:textId="4A683131" w:rsidR="00236AA9" w:rsidRPr="00236AA9" w:rsidRDefault="00236AA9" w:rsidP="00236AA9">
      <w:pPr>
        <w:spacing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</w:pPr>
    </w:p>
    <w:tbl>
      <w:tblPr>
        <w:tblStyle w:val="GridTable1Light-Accent3"/>
        <w:tblW w:w="13937" w:type="dxa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2689"/>
        <w:gridCol w:w="11248"/>
      </w:tblGrid>
      <w:tr w:rsidR="00236AA9" w:rsidRPr="00236AA9" w14:paraId="58305C25" w14:textId="77777777" w:rsidTr="00236A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bottom w:val="single" w:sz="4" w:space="0" w:color="auto"/>
            </w:tcBorders>
            <w:shd w:val="clear" w:color="auto" w:fill="16B4B5"/>
          </w:tcPr>
          <w:p w14:paraId="4B1DFAEE" w14:textId="2B463447" w:rsidR="00236AA9" w:rsidRPr="00236AA9" w:rsidRDefault="00236AA9" w:rsidP="00B173DE">
            <w:pPr>
              <w:jc w:val="center"/>
              <w:rPr>
                <w:rFonts w:asciiTheme="minorHAnsi" w:hAnsiTheme="minorHAnsi" w:cstheme="minorHAnsi"/>
                <w:b w:val="0"/>
                <w:color w:val="FFFFFF" w:themeColor="background1"/>
                <w:sz w:val="32"/>
                <w:szCs w:val="32"/>
              </w:rPr>
            </w:pPr>
            <w:r w:rsidRPr="00236AA9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</w:rPr>
              <w:t>Local Action Plan for taking on N</w:t>
            </w:r>
            <w:r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</w:rPr>
              <w:t>O</w:t>
            </w:r>
            <w:r w:rsidRPr="00236AA9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</w:rPr>
              <w:t>CA State of the Nation Report 202</w:t>
            </w:r>
            <w:r w:rsidR="00AA3DA6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</w:rPr>
              <w:t>6</w:t>
            </w:r>
            <w:r w:rsidR="008B43F8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</w:rPr>
              <w:t xml:space="preserve"> Recommendations</w:t>
            </w:r>
          </w:p>
        </w:tc>
      </w:tr>
      <w:tr w:rsidR="00236AA9" w:rsidRPr="00DD3BF7" w14:paraId="41666BCE" w14:textId="77777777" w:rsidTr="00236AA9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7" w:type="dxa"/>
            <w:gridSpan w:val="2"/>
            <w:tcBorders>
              <w:top w:val="single" w:sz="4" w:space="0" w:color="auto"/>
            </w:tcBorders>
          </w:tcPr>
          <w:p w14:paraId="524BCF8E" w14:textId="52D64312" w:rsidR="00236AA9" w:rsidRPr="00DD3BF7" w:rsidRDefault="00236AA9" w:rsidP="00B173DE">
            <w:pPr>
              <w:rPr>
                <w:rFonts w:asciiTheme="minorHAnsi" w:hAnsiTheme="minorHAnsi" w:cstheme="minorHAnsi"/>
                <w:b w:val="0"/>
                <w:sz w:val="24"/>
              </w:rPr>
            </w:pPr>
            <w:r w:rsidRPr="00DD3BF7">
              <w:rPr>
                <w:rFonts w:asciiTheme="minorHAnsi" w:hAnsiTheme="minorHAnsi" w:cstheme="minorHAnsi"/>
                <w:sz w:val="24"/>
              </w:rPr>
              <w:t>The provider should complete the following details to allow for ease of review</w:t>
            </w:r>
          </w:p>
        </w:tc>
      </w:tr>
      <w:tr w:rsidR="00236AA9" w:rsidRPr="00DD3BF7" w14:paraId="40FD91D0" w14:textId="77777777" w:rsidTr="00480358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14282EC" w14:textId="77777777" w:rsidR="00236AA9" w:rsidRPr="00DD3BF7" w:rsidRDefault="00236AA9" w:rsidP="00B173DE">
            <w:pPr>
              <w:rPr>
                <w:rFonts w:asciiTheme="minorHAnsi" w:hAnsiTheme="minorHAnsi" w:cstheme="minorHAnsi"/>
                <w:b w:val="0"/>
                <w:sz w:val="28"/>
              </w:rPr>
            </w:pPr>
            <w:r w:rsidRPr="00DD3BF7">
              <w:rPr>
                <w:rFonts w:asciiTheme="minorHAnsi" w:eastAsia="Times New Roman" w:hAnsiTheme="minorHAnsi" w:cstheme="minorHAnsi"/>
                <w:sz w:val="28"/>
              </w:rPr>
              <w:t xml:space="preserve">Audit title &amp; aim: </w:t>
            </w:r>
          </w:p>
        </w:tc>
        <w:tc>
          <w:tcPr>
            <w:tcW w:w="11248" w:type="dxa"/>
          </w:tcPr>
          <w:p w14:paraId="3FA55D58" w14:textId="47AB5FA9" w:rsidR="00236AA9" w:rsidRPr="00DD3BF7" w:rsidRDefault="00236AA9" w:rsidP="00B17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DD3BF7">
              <w:rPr>
                <w:rFonts w:asciiTheme="minorHAnsi" w:hAnsiTheme="minorHAnsi" w:cstheme="minorHAnsi"/>
                <w:sz w:val="24"/>
              </w:rPr>
              <w:t xml:space="preserve">National </w:t>
            </w:r>
            <w:r>
              <w:rPr>
                <w:rFonts w:asciiTheme="minorHAnsi" w:hAnsiTheme="minorHAnsi" w:cstheme="minorHAnsi"/>
                <w:sz w:val="24"/>
              </w:rPr>
              <w:t>Ovarian</w:t>
            </w:r>
            <w:r w:rsidRPr="00DD3BF7">
              <w:rPr>
                <w:rFonts w:asciiTheme="minorHAnsi" w:hAnsiTheme="minorHAnsi" w:cstheme="minorHAnsi"/>
                <w:sz w:val="24"/>
              </w:rPr>
              <w:t xml:space="preserve"> Cancer Audit (N</w:t>
            </w:r>
            <w:r>
              <w:rPr>
                <w:rFonts w:asciiTheme="minorHAnsi" w:hAnsiTheme="minorHAnsi" w:cstheme="minorHAnsi"/>
                <w:sz w:val="24"/>
              </w:rPr>
              <w:t>O</w:t>
            </w:r>
            <w:r w:rsidRPr="00DD3BF7">
              <w:rPr>
                <w:rFonts w:asciiTheme="minorHAnsi" w:hAnsiTheme="minorHAnsi" w:cstheme="minorHAnsi"/>
                <w:sz w:val="24"/>
              </w:rPr>
              <w:t>CA)</w:t>
            </w:r>
          </w:p>
          <w:p w14:paraId="45FAC8FE" w14:textId="703A61B1" w:rsidR="00236AA9" w:rsidRPr="00DD3BF7" w:rsidRDefault="00236AA9" w:rsidP="00B17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</w:t>
            </w:r>
            <w:r w:rsidRPr="00236AA9">
              <w:rPr>
                <w:rFonts w:asciiTheme="minorHAnsi" w:hAnsiTheme="minorHAnsi" w:cstheme="minorHAnsi"/>
                <w:sz w:val="24"/>
              </w:rPr>
              <w:t>o evaluate the patterns of care and outcomes for women with ovarian cancer in England and Wales, and to support services to improve the quality of care for these women.</w:t>
            </w:r>
          </w:p>
        </w:tc>
      </w:tr>
      <w:tr w:rsidR="00236AA9" w:rsidRPr="00DD3BF7" w14:paraId="24BEE5E6" w14:textId="77777777" w:rsidTr="00480358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ACFB4B9" w14:textId="77777777" w:rsidR="00236AA9" w:rsidRPr="00DD3BF7" w:rsidRDefault="00236AA9" w:rsidP="00B173DE">
            <w:pPr>
              <w:rPr>
                <w:rFonts w:asciiTheme="minorHAnsi" w:hAnsiTheme="minorHAnsi" w:cstheme="minorHAnsi"/>
                <w:b w:val="0"/>
                <w:sz w:val="28"/>
              </w:rPr>
            </w:pPr>
            <w:r w:rsidRPr="00DD3BF7">
              <w:rPr>
                <w:rFonts w:asciiTheme="minorHAnsi" w:hAnsiTheme="minorHAnsi" w:cstheme="minorHAnsi"/>
                <w:sz w:val="28"/>
              </w:rPr>
              <w:t>NHS organisation:</w:t>
            </w:r>
          </w:p>
          <w:p w14:paraId="6D550714" w14:textId="77777777" w:rsidR="00236AA9" w:rsidRPr="00DD3BF7" w:rsidRDefault="00236AA9" w:rsidP="00B173DE">
            <w:pPr>
              <w:rPr>
                <w:rFonts w:asciiTheme="minorHAnsi" w:hAnsiTheme="minorHAnsi" w:cstheme="minorHAnsi"/>
                <w:b w:val="0"/>
                <w:sz w:val="28"/>
              </w:rPr>
            </w:pPr>
          </w:p>
        </w:tc>
        <w:tc>
          <w:tcPr>
            <w:tcW w:w="11248" w:type="dxa"/>
          </w:tcPr>
          <w:p w14:paraId="71FD7D5A" w14:textId="77777777" w:rsidR="00236AA9" w:rsidRPr="00DD3BF7" w:rsidRDefault="00236AA9" w:rsidP="00B173DE">
            <w:pPr>
              <w:tabs>
                <w:tab w:val="left" w:pos="11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236AA9" w:rsidRPr="00DD3BF7" w14:paraId="31B9D9AD" w14:textId="77777777" w:rsidTr="00480358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A867A4D" w14:textId="77777777" w:rsidR="00236AA9" w:rsidRPr="00DD3BF7" w:rsidRDefault="00236AA9" w:rsidP="00B173DE">
            <w:pPr>
              <w:rPr>
                <w:rFonts w:asciiTheme="minorHAnsi" w:hAnsiTheme="minorHAnsi" w:cstheme="minorHAnsi"/>
                <w:b w:val="0"/>
                <w:sz w:val="28"/>
              </w:rPr>
            </w:pPr>
            <w:r w:rsidRPr="00DD3BF7">
              <w:rPr>
                <w:rFonts w:asciiTheme="minorHAnsi" w:hAnsiTheme="minorHAnsi" w:cstheme="minorHAnsi"/>
                <w:sz w:val="28"/>
              </w:rPr>
              <w:t>Audit lead:</w:t>
            </w:r>
          </w:p>
          <w:p w14:paraId="240EBC55" w14:textId="77777777" w:rsidR="00236AA9" w:rsidRPr="00DD3BF7" w:rsidRDefault="00236AA9" w:rsidP="00B173DE">
            <w:pPr>
              <w:rPr>
                <w:rFonts w:asciiTheme="minorHAnsi" w:hAnsiTheme="minorHAnsi" w:cstheme="minorHAnsi"/>
                <w:b w:val="0"/>
                <w:sz w:val="28"/>
              </w:rPr>
            </w:pPr>
          </w:p>
        </w:tc>
        <w:tc>
          <w:tcPr>
            <w:tcW w:w="11248" w:type="dxa"/>
          </w:tcPr>
          <w:p w14:paraId="645BD2FB" w14:textId="77777777" w:rsidR="00236AA9" w:rsidRPr="00DD3BF7" w:rsidRDefault="00236AA9" w:rsidP="00B17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36AA9" w:rsidRPr="00DD3BF7" w14:paraId="2E1916FF" w14:textId="77777777" w:rsidTr="00480358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1E08A4E" w14:textId="77777777" w:rsidR="00236AA9" w:rsidRPr="00DD3BF7" w:rsidRDefault="00236AA9" w:rsidP="00B173DE">
            <w:pPr>
              <w:rPr>
                <w:rFonts w:asciiTheme="minorHAnsi" w:hAnsiTheme="minorHAnsi" w:cstheme="minorHAnsi"/>
                <w:b w:val="0"/>
                <w:sz w:val="28"/>
              </w:rPr>
            </w:pPr>
            <w:r w:rsidRPr="00DD3BF7">
              <w:rPr>
                <w:rFonts w:asciiTheme="minorHAnsi" w:hAnsiTheme="minorHAnsi" w:cstheme="minorHAnsi"/>
                <w:sz w:val="28"/>
              </w:rPr>
              <w:t>Action plan lead:</w:t>
            </w:r>
          </w:p>
          <w:p w14:paraId="5E269E9D" w14:textId="77777777" w:rsidR="00236AA9" w:rsidRPr="00DD3BF7" w:rsidRDefault="00236AA9" w:rsidP="00B173DE">
            <w:pPr>
              <w:rPr>
                <w:rFonts w:asciiTheme="minorHAnsi" w:hAnsiTheme="minorHAnsi" w:cstheme="minorHAnsi"/>
                <w:b w:val="0"/>
                <w:sz w:val="28"/>
              </w:rPr>
            </w:pPr>
          </w:p>
        </w:tc>
        <w:tc>
          <w:tcPr>
            <w:tcW w:w="11248" w:type="dxa"/>
          </w:tcPr>
          <w:p w14:paraId="0A9FC36E" w14:textId="77777777" w:rsidR="00236AA9" w:rsidRPr="00DD3BF7" w:rsidRDefault="00236AA9" w:rsidP="00B17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13940BC8" w14:textId="77777777" w:rsidR="00236AA9" w:rsidRPr="00DD3BF7" w:rsidRDefault="00236AA9" w:rsidP="00236AA9">
      <w:pPr>
        <w:spacing w:line="360" w:lineRule="auto"/>
        <w:rPr>
          <w:rFonts w:asciiTheme="minorHAnsi" w:hAnsiTheme="minorHAnsi" w:cstheme="minorHAnsi"/>
          <w:sz w:val="36"/>
          <w:szCs w:val="32"/>
          <w:vertAlign w:val="superscript"/>
        </w:rPr>
      </w:pPr>
      <w:r w:rsidRPr="00DD3BF7">
        <w:rPr>
          <w:rFonts w:asciiTheme="minorHAnsi" w:hAnsiTheme="minorHAnsi" w:cstheme="minorHAnsi"/>
          <w:sz w:val="36"/>
          <w:szCs w:val="32"/>
          <w:vertAlign w:val="superscript"/>
        </w:rPr>
        <w:t>When making your action plan, make sure to keep the objectives SMART – Specific, Measurable, Assignable, Realistic, Time-related</w:t>
      </w:r>
    </w:p>
    <w:p w14:paraId="3194B4A6" w14:textId="77777777" w:rsidR="00236AA9" w:rsidRPr="00DD3BF7" w:rsidRDefault="00236AA9" w:rsidP="00236AA9">
      <w:pPr>
        <w:rPr>
          <w:rFonts w:asciiTheme="minorHAnsi" w:eastAsia="Times New Roman" w:hAnsiTheme="minorHAnsi" w:cstheme="minorHAnsi"/>
          <w:b/>
        </w:rPr>
        <w:sectPr w:rsidR="00236AA9" w:rsidRPr="00DD3BF7" w:rsidSect="00236AA9">
          <w:headerReference w:type="default" r:id="rId9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6730" w:type="dxa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6730"/>
      </w:tblGrid>
      <w:tr w:rsidR="00236AA9" w:rsidRPr="00DD3BF7" w14:paraId="13338CB0" w14:textId="77777777" w:rsidTr="00236AA9">
        <w:trPr>
          <w:trHeight w:val="133"/>
        </w:trPr>
        <w:tc>
          <w:tcPr>
            <w:tcW w:w="6730" w:type="dxa"/>
            <w:shd w:val="clear" w:color="auto" w:fill="16B4B5"/>
          </w:tcPr>
          <w:p w14:paraId="30E3189A" w14:textId="77777777" w:rsidR="00236AA9" w:rsidRPr="00236AA9" w:rsidRDefault="00236AA9" w:rsidP="00B173D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36AA9">
              <w:rPr>
                <w:rFonts w:asciiTheme="minorHAnsi" w:eastAsia="Times New Roman" w:hAnsiTheme="minorHAnsi" w:cstheme="minorHAnsi"/>
                <w:b/>
                <w:color w:val="FFFFFF" w:themeColor="background1"/>
              </w:rPr>
              <w:t xml:space="preserve">Key 1 (for the action status) </w:t>
            </w:r>
          </w:p>
        </w:tc>
      </w:tr>
      <w:tr w:rsidR="00236AA9" w:rsidRPr="00DD3BF7" w14:paraId="3FD71522" w14:textId="77777777" w:rsidTr="00B173DE">
        <w:trPr>
          <w:trHeight w:val="210"/>
        </w:trPr>
        <w:tc>
          <w:tcPr>
            <w:tcW w:w="6730" w:type="dxa"/>
            <w:shd w:val="clear" w:color="auto" w:fill="FFFFFF" w:themeFill="background1"/>
          </w:tcPr>
          <w:p w14:paraId="3BA8ED04" w14:textId="77777777" w:rsidR="00236AA9" w:rsidRPr="00DD3BF7" w:rsidRDefault="00236AA9" w:rsidP="00B173D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Awaiting plan of action</w:t>
            </w:r>
          </w:p>
          <w:p w14:paraId="5A998B51" w14:textId="77777777" w:rsidR="00236AA9" w:rsidRPr="00DD3BF7" w:rsidRDefault="00236AA9" w:rsidP="00B173D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Action in progress</w:t>
            </w:r>
          </w:p>
          <w:p w14:paraId="4F828C99" w14:textId="77777777" w:rsidR="00236AA9" w:rsidRPr="00DD3BF7" w:rsidRDefault="00236AA9" w:rsidP="00B173D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Action fully implemented</w:t>
            </w:r>
          </w:p>
          <w:p w14:paraId="5E58B22E" w14:textId="77777777" w:rsidR="00236AA9" w:rsidRPr="00DD3BF7" w:rsidRDefault="00236AA9" w:rsidP="00B173D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No plan to action recommendation (state reason)</w:t>
            </w:r>
          </w:p>
          <w:p w14:paraId="0BB87E6F" w14:textId="77777777" w:rsidR="00236AA9" w:rsidRPr="00DD3BF7" w:rsidRDefault="00236AA9" w:rsidP="00B173D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</w:rPr>
              <w:t>Other (provide information)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2"/>
        <w:tblW w:w="6730" w:type="dxa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6730"/>
      </w:tblGrid>
      <w:tr w:rsidR="00236AA9" w:rsidRPr="00DD3BF7" w14:paraId="2DB7E990" w14:textId="77777777" w:rsidTr="00236AA9">
        <w:trPr>
          <w:trHeight w:val="133"/>
        </w:trPr>
        <w:tc>
          <w:tcPr>
            <w:tcW w:w="6730" w:type="dxa"/>
            <w:shd w:val="clear" w:color="auto" w:fill="16B4B5"/>
          </w:tcPr>
          <w:p w14:paraId="395284A8" w14:textId="77777777" w:rsidR="00236AA9" w:rsidRPr="00DD3BF7" w:rsidRDefault="00236AA9" w:rsidP="00B173DE">
            <w:pPr>
              <w:rPr>
                <w:rFonts w:asciiTheme="minorHAnsi" w:hAnsiTheme="minorHAnsi" w:cstheme="minorHAnsi"/>
                <w:b/>
              </w:rPr>
            </w:pPr>
            <w:r w:rsidRPr="00236AA9">
              <w:rPr>
                <w:rFonts w:asciiTheme="minorHAnsi" w:eastAsia="Times New Roman" w:hAnsiTheme="minorHAnsi" w:cstheme="minorHAnsi"/>
                <w:b/>
                <w:color w:val="FFFFFF" w:themeColor="background1"/>
              </w:rPr>
              <w:t xml:space="preserve">Key 2 (for </w:t>
            </w:r>
            <w:r w:rsidRPr="00236AA9">
              <w:rPr>
                <w:rFonts w:asciiTheme="minorHAnsi" w:eastAsia="Times New Roman" w:hAnsiTheme="minorHAnsi" w:cstheme="minorHAnsi"/>
                <w:b/>
                <w:color w:val="FFFFFF" w:themeColor="background1"/>
                <w:shd w:val="clear" w:color="auto" w:fill="16B4B5"/>
              </w:rPr>
              <w:t>the action priority)</w:t>
            </w:r>
            <w:r w:rsidRPr="00236AA9">
              <w:rPr>
                <w:rFonts w:asciiTheme="minorHAnsi" w:eastAsia="Times New Roman" w:hAnsiTheme="minorHAnsi" w:cstheme="minorHAnsi"/>
                <w:b/>
                <w:color w:val="FFFFFF" w:themeColor="background1"/>
              </w:rPr>
              <w:t xml:space="preserve"> </w:t>
            </w:r>
          </w:p>
        </w:tc>
      </w:tr>
      <w:tr w:rsidR="00236AA9" w:rsidRPr="00DD3BF7" w14:paraId="31B58185" w14:textId="77777777" w:rsidTr="00B173DE">
        <w:trPr>
          <w:trHeight w:val="210"/>
        </w:trPr>
        <w:tc>
          <w:tcPr>
            <w:tcW w:w="6730" w:type="dxa"/>
            <w:shd w:val="clear" w:color="auto" w:fill="FFFFFF" w:themeFill="background1"/>
          </w:tcPr>
          <w:p w14:paraId="03880C90" w14:textId="77777777" w:rsidR="00236AA9" w:rsidRPr="00DD3BF7" w:rsidRDefault="00236AA9" w:rsidP="00B173DE">
            <w:pPr>
              <w:ind w:left="360"/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High: requires urgent attention (local audit)</w:t>
            </w:r>
          </w:p>
          <w:p w14:paraId="15569C39" w14:textId="77777777" w:rsidR="00236AA9" w:rsidRPr="00DD3BF7" w:rsidRDefault="00236AA9" w:rsidP="00B173DE">
            <w:pPr>
              <w:ind w:left="360"/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Medium: requires prompt action (consider local audit)</w:t>
            </w:r>
          </w:p>
          <w:p w14:paraId="36B3FB1E" w14:textId="77777777" w:rsidR="00236AA9" w:rsidRPr="00DD3BF7" w:rsidRDefault="00236AA9" w:rsidP="00B173DE">
            <w:pPr>
              <w:ind w:left="360"/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 xml:space="preserve">Low: requires no immediate action (or local audit) </w:t>
            </w:r>
          </w:p>
        </w:tc>
      </w:tr>
    </w:tbl>
    <w:p w14:paraId="1B369A12" w14:textId="77777777" w:rsidR="00236AA9" w:rsidRPr="00DD3BF7" w:rsidRDefault="00236AA9" w:rsidP="00236AA9">
      <w:pPr>
        <w:spacing w:line="360" w:lineRule="auto"/>
        <w:rPr>
          <w:rFonts w:asciiTheme="minorHAnsi" w:hAnsiTheme="minorHAnsi" w:cstheme="minorHAnsi"/>
          <w:sz w:val="28"/>
          <w:szCs w:val="24"/>
          <w:vertAlign w:val="superscript"/>
        </w:rPr>
      </w:pPr>
      <w:r w:rsidRPr="00DD3BF7">
        <w:rPr>
          <w:rFonts w:asciiTheme="minorHAnsi" w:hAnsiTheme="minorHAnsi" w:cstheme="minorHAnsi"/>
          <w:sz w:val="28"/>
          <w:szCs w:val="24"/>
          <w:vertAlign w:val="superscript"/>
        </w:rPr>
        <w:t xml:space="preserve"> </w:t>
      </w:r>
    </w:p>
    <w:p w14:paraId="18C15459" w14:textId="77777777" w:rsidR="00236AA9" w:rsidRPr="00DD3BF7" w:rsidRDefault="00236AA9" w:rsidP="00236AA9">
      <w:pPr>
        <w:spacing w:line="360" w:lineRule="auto"/>
        <w:rPr>
          <w:rFonts w:asciiTheme="minorHAnsi" w:hAnsiTheme="minorHAnsi" w:cstheme="minorHAnsi"/>
          <w:b/>
          <w:sz w:val="28"/>
          <w:szCs w:val="24"/>
          <w:vertAlign w:val="superscript"/>
        </w:rPr>
        <w:sectPr w:rsidR="00236AA9" w:rsidRPr="00DD3BF7" w:rsidSect="00236AA9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</w:p>
    <w:p w14:paraId="4BCD8976" w14:textId="77777777" w:rsidR="00236AA9" w:rsidRPr="00DD3BF7" w:rsidRDefault="00236AA9" w:rsidP="00236AA9">
      <w:pPr>
        <w:spacing w:line="360" w:lineRule="auto"/>
        <w:rPr>
          <w:rFonts w:asciiTheme="minorHAnsi" w:hAnsiTheme="minorHAnsi" w:cstheme="minorHAnsi"/>
          <w:b/>
          <w:sz w:val="28"/>
          <w:szCs w:val="24"/>
          <w:vertAlign w:val="superscript"/>
        </w:rPr>
      </w:pPr>
    </w:p>
    <w:tbl>
      <w:tblPr>
        <w:tblStyle w:val="TableGrid"/>
        <w:tblW w:w="0" w:type="auto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632"/>
        <w:gridCol w:w="4041"/>
        <w:gridCol w:w="4799"/>
        <w:gridCol w:w="1342"/>
        <w:gridCol w:w="1108"/>
        <w:gridCol w:w="1040"/>
        <w:gridCol w:w="986"/>
      </w:tblGrid>
      <w:tr w:rsidR="00236AA9" w:rsidRPr="00DD3BF7" w14:paraId="3E4D8CE2" w14:textId="77777777" w:rsidTr="00236AA9">
        <w:tc>
          <w:tcPr>
            <w:tcW w:w="9472" w:type="dxa"/>
            <w:gridSpan w:val="3"/>
            <w:shd w:val="clear" w:color="auto" w:fill="16B4B5"/>
          </w:tcPr>
          <w:p w14:paraId="271F5760" w14:textId="77777777" w:rsidR="00236AA9" w:rsidRPr="00236AA9" w:rsidRDefault="00236AA9" w:rsidP="00B173D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476" w:type="dxa"/>
            <w:gridSpan w:val="4"/>
            <w:shd w:val="clear" w:color="auto" w:fill="16B4B5"/>
          </w:tcPr>
          <w:p w14:paraId="7867B9BD" w14:textId="77777777" w:rsidR="00236AA9" w:rsidRPr="00236AA9" w:rsidRDefault="00236AA9" w:rsidP="00B173D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36AA9">
              <w:rPr>
                <w:rFonts w:asciiTheme="minorHAnsi" w:hAnsiTheme="minorHAnsi" w:cstheme="minorHAnsi"/>
                <w:b/>
                <w:color w:val="FFFFFF" w:themeColor="background1"/>
              </w:rPr>
              <w:t>Action activities</w:t>
            </w:r>
          </w:p>
        </w:tc>
      </w:tr>
      <w:tr w:rsidR="00236AA9" w:rsidRPr="00DD3BF7" w14:paraId="7CB9EC74" w14:textId="77777777" w:rsidTr="00480358">
        <w:tc>
          <w:tcPr>
            <w:tcW w:w="632" w:type="dxa"/>
            <w:shd w:val="clear" w:color="auto" w:fill="16B4B5"/>
          </w:tcPr>
          <w:p w14:paraId="40229271" w14:textId="77777777" w:rsidR="00236AA9" w:rsidRPr="00236AA9" w:rsidRDefault="00236AA9" w:rsidP="00B173D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36AA9">
              <w:rPr>
                <w:rFonts w:asciiTheme="minorHAnsi" w:hAnsiTheme="minorHAnsi" w:cstheme="minorHAnsi"/>
                <w:color w:val="FFFFFF" w:themeColor="background1"/>
              </w:rPr>
              <w:br w:type="page"/>
            </w:r>
            <w:r w:rsidRPr="00236AA9">
              <w:rPr>
                <w:rFonts w:asciiTheme="minorHAnsi" w:hAnsiTheme="minorHAnsi" w:cstheme="minorHAnsi"/>
                <w:b/>
                <w:color w:val="FFFFFF" w:themeColor="background1"/>
              </w:rPr>
              <w:t>No.</w:t>
            </w:r>
          </w:p>
        </w:tc>
        <w:tc>
          <w:tcPr>
            <w:tcW w:w="4041" w:type="dxa"/>
            <w:shd w:val="clear" w:color="auto" w:fill="16B4B5"/>
          </w:tcPr>
          <w:p w14:paraId="0958D8D0" w14:textId="77777777" w:rsidR="00236AA9" w:rsidRPr="00236AA9" w:rsidRDefault="00236AA9" w:rsidP="00B173D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36AA9">
              <w:rPr>
                <w:rFonts w:asciiTheme="minorHAnsi" w:hAnsiTheme="minorHAnsi" w:cstheme="minorHAnsi"/>
                <w:b/>
                <w:color w:val="FFFFFF" w:themeColor="background1"/>
              </w:rPr>
              <w:t>Recommendation</w:t>
            </w:r>
          </w:p>
        </w:tc>
        <w:tc>
          <w:tcPr>
            <w:tcW w:w="4799" w:type="dxa"/>
            <w:shd w:val="clear" w:color="auto" w:fill="16B4B5"/>
          </w:tcPr>
          <w:p w14:paraId="30825C49" w14:textId="77777777" w:rsidR="00236AA9" w:rsidRPr="00236AA9" w:rsidRDefault="00236AA9" w:rsidP="00B173D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36AA9">
              <w:rPr>
                <w:rFonts w:asciiTheme="minorHAnsi" w:hAnsiTheme="minorHAnsi" w:cstheme="minorHAnsi"/>
                <w:b/>
                <w:color w:val="FFFFFF" w:themeColor="background1"/>
              </w:rPr>
              <w:t>Action required?</w:t>
            </w:r>
          </w:p>
        </w:tc>
        <w:tc>
          <w:tcPr>
            <w:tcW w:w="1342" w:type="dxa"/>
            <w:shd w:val="clear" w:color="auto" w:fill="16B4B5"/>
          </w:tcPr>
          <w:p w14:paraId="141B2341" w14:textId="77777777" w:rsidR="00236AA9" w:rsidRPr="00236AA9" w:rsidRDefault="00236AA9" w:rsidP="00B173D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36AA9">
              <w:rPr>
                <w:rFonts w:asciiTheme="minorHAnsi" w:hAnsiTheme="minorHAnsi" w:cstheme="minorHAnsi"/>
                <w:b/>
                <w:color w:val="FFFFFF" w:themeColor="background1"/>
              </w:rPr>
              <w:t>Responsible individual(s)</w:t>
            </w:r>
          </w:p>
        </w:tc>
        <w:tc>
          <w:tcPr>
            <w:tcW w:w="1108" w:type="dxa"/>
            <w:shd w:val="clear" w:color="auto" w:fill="16B4B5"/>
          </w:tcPr>
          <w:p w14:paraId="70243A12" w14:textId="77777777" w:rsidR="00236AA9" w:rsidRPr="00236AA9" w:rsidRDefault="00236AA9" w:rsidP="00B173D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36AA9">
              <w:rPr>
                <w:rFonts w:asciiTheme="minorHAnsi" w:hAnsiTheme="minorHAnsi" w:cstheme="minorHAnsi"/>
                <w:b/>
                <w:color w:val="FFFFFF" w:themeColor="background1"/>
              </w:rPr>
              <w:t>Agreed deadline</w:t>
            </w:r>
          </w:p>
        </w:tc>
        <w:tc>
          <w:tcPr>
            <w:tcW w:w="1040" w:type="dxa"/>
            <w:shd w:val="clear" w:color="auto" w:fill="16B4B5"/>
          </w:tcPr>
          <w:p w14:paraId="38D4ACFD" w14:textId="77777777" w:rsidR="00236AA9" w:rsidRPr="00236AA9" w:rsidRDefault="00236AA9" w:rsidP="00B173D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36AA9">
              <w:rPr>
                <w:rFonts w:asciiTheme="minorHAnsi" w:hAnsiTheme="minorHAnsi" w:cstheme="minorHAnsi"/>
                <w:b/>
                <w:color w:val="FFFFFF" w:themeColor="background1"/>
              </w:rPr>
              <w:t>Status (Key 1)</w:t>
            </w:r>
          </w:p>
        </w:tc>
        <w:tc>
          <w:tcPr>
            <w:tcW w:w="986" w:type="dxa"/>
            <w:shd w:val="clear" w:color="auto" w:fill="16B4B5"/>
          </w:tcPr>
          <w:p w14:paraId="51FD47D7" w14:textId="77777777" w:rsidR="00236AA9" w:rsidRPr="00236AA9" w:rsidRDefault="00236AA9" w:rsidP="00B173D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36AA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Priority (Key 2) </w:t>
            </w:r>
          </w:p>
        </w:tc>
      </w:tr>
      <w:tr w:rsidR="000E6F71" w:rsidRPr="00DD3BF7" w14:paraId="31D69F6D" w14:textId="77777777" w:rsidTr="00480358">
        <w:tc>
          <w:tcPr>
            <w:tcW w:w="632" w:type="dxa"/>
          </w:tcPr>
          <w:p w14:paraId="03B106D2" w14:textId="77777777" w:rsidR="000E6F71" w:rsidRPr="00C27B7B" w:rsidRDefault="000E6F71" w:rsidP="000E6F71">
            <w:pPr>
              <w:rPr>
                <w:rFonts w:asciiTheme="minorHAnsi" w:hAnsiTheme="minorHAnsi" w:cstheme="minorHAnsi"/>
                <w:b/>
              </w:rPr>
            </w:pPr>
            <w:r w:rsidRPr="00C27B7B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041" w:type="dxa"/>
          </w:tcPr>
          <w:p w14:paraId="48081A51" w14:textId="43DEFA26" w:rsidR="000E6F71" w:rsidRPr="00C27B7B" w:rsidRDefault="000E6F71" w:rsidP="00BF0CF7">
            <w:pPr>
              <w:ind w:left="-35"/>
              <w:rPr>
                <w:rFonts w:asciiTheme="minorHAnsi" w:hAnsiTheme="minorHAnsi" w:cstheme="minorHAnsi"/>
                <w:b/>
                <w:bCs/>
              </w:rPr>
            </w:pPr>
            <w:r w:rsidRPr="00C27B7B">
              <w:rPr>
                <w:rFonts w:asciiTheme="minorHAnsi" w:hAnsiTheme="minorHAnsi" w:cstheme="minorHAnsi"/>
                <w:b/>
                <w:bCs/>
              </w:rPr>
              <w:t>Reduce the current rate of emergency</w:t>
            </w:r>
            <w:r w:rsidR="00BF0CF7" w:rsidRPr="00C27B7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27B7B">
              <w:rPr>
                <w:rFonts w:asciiTheme="minorHAnsi" w:hAnsiTheme="minorHAnsi" w:cstheme="minorHAnsi"/>
                <w:b/>
                <w:bCs/>
              </w:rPr>
              <w:t>admissions</w:t>
            </w:r>
            <w:r w:rsidR="00E53E0F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395F5053" w14:textId="087C0689" w:rsidR="000E6F71" w:rsidRPr="00C27B7B" w:rsidRDefault="000E6F71" w:rsidP="00E53E0F">
            <w:pPr>
              <w:pStyle w:val="ListParagraph"/>
              <w:ind w:left="24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99" w:type="dxa"/>
          </w:tcPr>
          <w:p w14:paraId="7451AE4E" w14:textId="77777777" w:rsidR="000E6F71" w:rsidRPr="00C27B7B" w:rsidRDefault="000E6F71" w:rsidP="000E6F71">
            <w:pPr>
              <w:spacing w:line="259" w:lineRule="auto"/>
              <w:ind w:left="176" w:hanging="176"/>
              <w:contextualSpacing/>
              <w:rPr>
                <w:rFonts w:asciiTheme="minorHAnsi" w:hAnsiTheme="minorHAnsi" w:cstheme="minorHAnsi"/>
                <w:i/>
                <w:color w:val="16B4B5"/>
              </w:rPr>
            </w:pPr>
            <w:r w:rsidRPr="00C27B7B">
              <w:rPr>
                <w:rFonts w:asciiTheme="minorHAnsi" w:hAnsiTheme="minorHAnsi" w:cstheme="minorHAnsi"/>
                <w:i/>
                <w:color w:val="16B4B5"/>
              </w:rPr>
              <w:lastRenderedPageBreak/>
              <w:t>Suggested actions:</w:t>
            </w:r>
          </w:p>
          <w:p w14:paraId="7C98DB25" w14:textId="6F4B0571" w:rsidR="000E6F71" w:rsidRPr="00C27B7B" w:rsidRDefault="000E6F71" w:rsidP="000E6F71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76" w:hanging="176"/>
              <w:rPr>
                <w:rFonts w:asciiTheme="minorHAnsi" w:hAnsiTheme="minorHAnsi" w:cstheme="minorHAnsi"/>
                <w:i/>
                <w:color w:val="16B4B5"/>
              </w:rPr>
            </w:pPr>
            <w:r w:rsidRPr="00C27B7B">
              <w:rPr>
                <w:rFonts w:asciiTheme="minorHAnsi" w:hAnsiTheme="minorHAnsi" w:cstheme="minorHAnsi"/>
                <w:i/>
                <w:color w:val="16B4B5"/>
              </w:rPr>
              <w:lastRenderedPageBreak/>
              <w:t>Review the proportion of women diagnosed with ovarian cancer following an emergency admission in your own Cancer Alliance/gynaecological cancer system/NHS trust or health board using the data dashboard.</w:t>
            </w:r>
          </w:p>
          <w:p w14:paraId="0F1C218A" w14:textId="7480EF38" w:rsidR="000E6F71" w:rsidRPr="00C27B7B" w:rsidRDefault="000E6F71" w:rsidP="000E6F71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76" w:hanging="176"/>
              <w:rPr>
                <w:rFonts w:asciiTheme="minorHAnsi" w:hAnsiTheme="minorHAnsi" w:cstheme="minorHAnsi"/>
                <w:i/>
                <w:color w:val="16B4B5"/>
              </w:rPr>
            </w:pPr>
            <w:r w:rsidRPr="00C27B7B">
              <w:rPr>
                <w:rFonts w:asciiTheme="minorHAnsi" w:hAnsiTheme="minorHAnsi" w:cstheme="minorHAnsi"/>
                <w:i/>
                <w:color w:val="16B4B5"/>
              </w:rPr>
              <w:t xml:space="preserve">Identify potential missed opportunities and </w:t>
            </w:r>
            <w:r w:rsidR="00BF0CF7" w:rsidRPr="00C27B7B">
              <w:rPr>
                <w:rFonts w:asciiTheme="minorHAnsi" w:hAnsiTheme="minorHAnsi" w:cstheme="minorHAnsi"/>
                <w:i/>
                <w:color w:val="16B4B5"/>
              </w:rPr>
              <w:t>engage in collaborative</w:t>
            </w:r>
            <w:r w:rsidRPr="00C27B7B">
              <w:rPr>
                <w:rFonts w:asciiTheme="minorHAnsi" w:hAnsiTheme="minorHAnsi" w:cstheme="minorHAnsi"/>
                <w:i/>
                <w:color w:val="16B4B5"/>
              </w:rPr>
              <w:t xml:space="preserve"> learning with primary care partners to support earlier diagnosis in the future.</w:t>
            </w:r>
          </w:p>
          <w:p w14:paraId="453F71CA" w14:textId="77777777" w:rsidR="000E6F71" w:rsidRPr="00C27B7B" w:rsidRDefault="000E6F71" w:rsidP="000E6F71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asciiTheme="minorHAnsi" w:hAnsiTheme="minorHAnsi" w:cstheme="minorHAnsi"/>
                <w:i/>
                <w:color w:val="16B4B5"/>
              </w:rPr>
            </w:pPr>
            <w:r w:rsidRPr="00C27B7B">
              <w:rPr>
                <w:rFonts w:asciiTheme="minorHAnsi" w:hAnsiTheme="minorHAnsi" w:cstheme="minorHAnsi"/>
                <w:i/>
                <w:color w:val="16B4B5"/>
              </w:rPr>
              <w:t>Identify barriers to timely diagnosis.</w:t>
            </w:r>
          </w:p>
          <w:p w14:paraId="1086F0BA" w14:textId="559A1789" w:rsidR="000E6F71" w:rsidRPr="00C27B7B" w:rsidRDefault="000E6F71" w:rsidP="000E6F71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asciiTheme="minorHAnsi" w:hAnsiTheme="minorHAnsi" w:cstheme="minorHAnsi"/>
                <w:i/>
                <w:color w:val="16B4B5"/>
              </w:rPr>
            </w:pPr>
            <w:r w:rsidRPr="00C27B7B">
              <w:rPr>
                <w:rFonts w:asciiTheme="minorHAnsi" w:hAnsiTheme="minorHAnsi" w:cstheme="minorHAnsi"/>
                <w:i/>
                <w:color w:val="16B4B5"/>
              </w:rPr>
              <w:t xml:space="preserve">Review local diagnostic pathways including local diagnosis rates and referral processes </w:t>
            </w:r>
            <w:r w:rsidR="00BF0CF7" w:rsidRPr="00C27B7B">
              <w:rPr>
                <w:rFonts w:asciiTheme="minorHAnsi" w:hAnsiTheme="minorHAnsi" w:cstheme="minorHAnsi"/>
                <w:i/>
                <w:color w:val="16B4B5"/>
              </w:rPr>
              <w:t xml:space="preserve">and non-specific symptoms pathways </w:t>
            </w:r>
            <w:r w:rsidRPr="00C27B7B">
              <w:rPr>
                <w:rFonts w:asciiTheme="minorHAnsi" w:hAnsiTheme="minorHAnsi" w:cstheme="minorHAnsi"/>
                <w:i/>
                <w:color w:val="16B4B5"/>
              </w:rPr>
              <w:t>and explore the use of innovative approaches to early diagnosis in community settings.</w:t>
            </w:r>
          </w:p>
          <w:p w14:paraId="0BA07339" w14:textId="25CA5DEC" w:rsidR="000E6F71" w:rsidRPr="00C27B7B" w:rsidRDefault="000E6F71" w:rsidP="000E6F71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asciiTheme="minorHAnsi" w:hAnsiTheme="minorHAnsi" w:cstheme="minorHAnsi"/>
                <w:i/>
                <w:color w:val="16B4B5"/>
              </w:rPr>
            </w:pPr>
            <w:r w:rsidRPr="00C27B7B">
              <w:rPr>
                <w:rFonts w:asciiTheme="minorHAnsi" w:hAnsiTheme="minorHAnsi" w:cstheme="minorHAnsi"/>
                <w:i/>
                <w:color w:val="16B4B5"/>
              </w:rPr>
              <w:t>Liaise with affiliated cancer alliance to promote awareness of symptoms among women</w:t>
            </w:r>
            <w:r w:rsidR="00BF0CF7" w:rsidRPr="00C27B7B">
              <w:rPr>
                <w:rFonts w:asciiTheme="minorHAnsi" w:hAnsiTheme="minorHAnsi" w:cstheme="minorHAnsi"/>
                <w:i/>
                <w:color w:val="16B4B5"/>
              </w:rPr>
              <w:t>, particularly among older adults and those living in more deprived areas,</w:t>
            </w:r>
            <w:r w:rsidRPr="00C27B7B">
              <w:rPr>
                <w:rFonts w:asciiTheme="minorHAnsi" w:hAnsiTheme="minorHAnsi" w:cstheme="minorHAnsi"/>
                <w:i/>
                <w:color w:val="16B4B5"/>
              </w:rPr>
              <w:t xml:space="preserve"> and primary care professionals.</w:t>
            </w:r>
          </w:p>
        </w:tc>
        <w:tc>
          <w:tcPr>
            <w:tcW w:w="1342" w:type="dxa"/>
          </w:tcPr>
          <w:p w14:paraId="25711140" w14:textId="77777777" w:rsidR="000E6F71" w:rsidRPr="00DD3BF7" w:rsidRDefault="000E6F71" w:rsidP="000E6F71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8" w:type="dxa"/>
          </w:tcPr>
          <w:p w14:paraId="7DAF874C" w14:textId="77777777" w:rsidR="000E6F71" w:rsidRPr="00DD3BF7" w:rsidRDefault="000E6F71" w:rsidP="000E6F71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1E6755E" w14:textId="77777777" w:rsidR="000E6F71" w:rsidRPr="00DD3BF7" w:rsidRDefault="000E6F71" w:rsidP="000E6F71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86" w:type="dxa"/>
          </w:tcPr>
          <w:p w14:paraId="11317809" w14:textId="77777777" w:rsidR="000E6F71" w:rsidRPr="00DD3BF7" w:rsidRDefault="000E6F71" w:rsidP="000E6F7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2B3D" w:rsidRPr="00DD3BF7" w14:paraId="024D3AE6" w14:textId="77777777" w:rsidTr="00480358">
        <w:tc>
          <w:tcPr>
            <w:tcW w:w="632" w:type="dxa"/>
          </w:tcPr>
          <w:p w14:paraId="11AEEE3E" w14:textId="77777777" w:rsidR="00C12B3D" w:rsidRPr="00C27B7B" w:rsidRDefault="00C12B3D" w:rsidP="00C12B3D">
            <w:pPr>
              <w:rPr>
                <w:rFonts w:asciiTheme="minorHAnsi" w:hAnsiTheme="minorHAnsi" w:cstheme="minorHAnsi"/>
                <w:b/>
              </w:rPr>
            </w:pPr>
            <w:r w:rsidRPr="00C27B7B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041" w:type="dxa"/>
          </w:tcPr>
          <w:p w14:paraId="7EF68B99" w14:textId="6DD1B663" w:rsidR="00C12B3D" w:rsidRPr="00E53E0F" w:rsidRDefault="00C12B3D" w:rsidP="00E53E0F">
            <w:pPr>
              <w:numPr>
                <w:ilvl w:val="0"/>
                <w:numId w:val="7"/>
              </w:numPr>
              <w:spacing w:line="259" w:lineRule="auto"/>
              <w:ind w:left="16"/>
              <w:contextualSpacing/>
              <w:rPr>
                <w:rFonts w:asciiTheme="minorHAnsi" w:eastAsia="Aptos" w:hAnsiTheme="minorHAnsi" w:cstheme="minorHAnsi"/>
                <w:b/>
              </w:rPr>
            </w:pPr>
            <w:r w:rsidRPr="00C27B7B">
              <w:rPr>
                <w:rFonts w:asciiTheme="minorHAnsi" w:eastAsia="Aptos" w:hAnsiTheme="minorHAnsi" w:cstheme="minorHAnsi"/>
                <w:b/>
              </w:rPr>
              <w:t>For women diagnosed with ovarian cancer within 28 days following an emergency admission, increase the proportion of these women who receive treatment (surgery and/or chemotherapy)</w:t>
            </w:r>
            <w:r w:rsidR="00E53E0F">
              <w:rPr>
                <w:rFonts w:asciiTheme="minorHAnsi" w:eastAsia="Aptos" w:hAnsiTheme="minorHAnsi" w:cstheme="minorHAnsi"/>
                <w:b/>
              </w:rPr>
              <w:t>.</w:t>
            </w:r>
          </w:p>
        </w:tc>
        <w:tc>
          <w:tcPr>
            <w:tcW w:w="4799" w:type="dxa"/>
          </w:tcPr>
          <w:p w14:paraId="6FB37583" w14:textId="77777777" w:rsidR="00C12B3D" w:rsidRPr="00C27B7B" w:rsidRDefault="00C12B3D" w:rsidP="00C12B3D">
            <w:pPr>
              <w:ind w:left="176" w:hanging="176"/>
              <w:contextualSpacing/>
              <w:rPr>
                <w:rFonts w:asciiTheme="minorHAnsi" w:hAnsiTheme="minorHAnsi" w:cstheme="minorHAnsi"/>
                <w:i/>
                <w:color w:val="16B4B5"/>
              </w:rPr>
            </w:pPr>
            <w:r w:rsidRPr="00C27B7B">
              <w:rPr>
                <w:rFonts w:asciiTheme="minorHAnsi" w:hAnsiTheme="minorHAnsi" w:cstheme="minorHAnsi"/>
                <w:i/>
                <w:color w:val="16B4B5"/>
              </w:rPr>
              <w:t>Suggested actions:</w:t>
            </w:r>
          </w:p>
          <w:p w14:paraId="52B01647" w14:textId="77777777" w:rsidR="00C12B3D" w:rsidRPr="00C27B7B" w:rsidRDefault="00C12B3D" w:rsidP="00C12B3D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76" w:hanging="176"/>
              <w:rPr>
                <w:rFonts w:asciiTheme="minorHAnsi" w:hAnsiTheme="minorHAnsi" w:cstheme="minorHAnsi"/>
                <w:i/>
                <w:color w:val="16B4B5"/>
              </w:rPr>
            </w:pPr>
            <w:r w:rsidRPr="00C27B7B">
              <w:rPr>
                <w:rFonts w:asciiTheme="minorHAnsi" w:hAnsiTheme="minorHAnsi" w:cstheme="minorHAnsi"/>
                <w:i/>
                <w:color w:val="16B4B5"/>
              </w:rPr>
              <w:t xml:space="preserve">Review the provision of treatment (any type) among women with an emergency admission prior to their diagnosis in your own Cancer Alliance/gynaecological cancer system/NHS trust or health board using the data dashboard.  </w:t>
            </w:r>
          </w:p>
          <w:p w14:paraId="48538D04" w14:textId="77777777" w:rsidR="00C12B3D" w:rsidRPr="00C27B7B" w:rsidRDefault="00C12B3D" w:rsidP="00C12B3D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76" w:hanging="176"/>
              <w:rPr>
                <w:rFonts w:asciiTheme="minorHAnsi" w:hAnsiTheme="minorHAnsi" w:cstheme="minorHAnsi"/>
                <w:i/>
                <w:color w:val="16B4B5"/>
              </w:rPr>
            </w:pPr>
            <w:r w:rsidRPr="00C27B7B">
              <w:rPr>
                <w:rFonts w:asciiTheme="minorHAnsi" w:hAnsiTheme="minorHAnsi" w:cstheme="minorHAnsi"/>
                <w:i/>
                <w:color w:val="16B4B5"/>
              </w:rPr>
              <w:t>Identify barriers to the timely provision of surgery and/or chemotherapy to women with an emergency admission prior to their diagnosis.</w:t>
            </w:r>
          </w:p>
          <w:p w14:paraId="4855A985" w14:textId="4CB0B487" w:rsidR="00C12B3D" w:rsidRPr="00C27B7B" w:rsidRDefault="00C12B3D" w:rsidP="00C12B3D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asciiTheme="minorHAnsi" w:hAnsiTheme="minorHAnsi" w:cstheme="minorHAnsi"/>
                <w:i/>
                <w:color w:val="16B4B5"/>
              </w:rPr>
            </w:pPr>
            <w:r w:rsidRPr="00C27B7B">
              <w:rPr>
                <w:rFonts w:asciiTheme="minorHAnsi" w:hAnsiTheme="minorHAnsi" w:cstheme="minorHAnsi"/>
                <w:i/>
                <w:color w:val="16B4B5"/>
              </w:rPr>
              <w:t xml:space="preserve">Review examples of </w:t>
            </w:r>
            <w:r w:rsidR="00E37004" w:rsidRPr="00C27B7B">
              <w:rPr>
                <w:rFonts w:asciiTheme="minorHAnsi" w:hAnsiTheme="minorHAnsi" w:cstheme="minorHAnsi"/>
                <w:i/>
                <w:color w:val="16B4B5"/>
              </w:rPr>
              <w:t>best-</w:t>
            </w:r>
            <w:r w:rsidRPr="00C27B7B">
              <w:rPr>
                <w:rFonts w:asciiTheme="minorHAnsi" w:hAnsiTheme="minorHAnsi" w:cstheme="minorHAnsi"/>
                <w:i/>
                <w:color w:val="16B4B5"/>
              </w:rPr>
              <w:t>practice and consider incorporating them in your own practice.</w:t>
            </w:r>
          </w:p>
          <w:p w14:paraId="19552FB5" w14:textId="77777777" w:rsidR="00C12B3D" w:rsidRPr="00C27B7B" w:rsidRDefault="00C12B3D" w:rsidP="00C12B3D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asciiTheme="minorHAnsi" w:hAnsiTheme="minorHAnsi" w:cstheme="minorHAnsi"/>
                <w:i/>
                <w:color w:val="16B4B5"/>
              </w:rPr>
            </w:pPr>
            <w:r w:rsidRPr="00C27B7B">
              <w:rPr>
                <w:rFonts w:asciiTheme="minorHAnsi" w:hAnsiTheme="minorHAnsi" w:cstheme="minorHAnsi"/>
                <w:i/>
                <w:color w:val="16B4B5"/>
              </w:rPr>
              <w:lastRenderedPageBreak/>
              <w:t>Develop local pathways to improve timely provision of treatment for these women.</w:t>
            </w:r>
          </w:p>
          <w:p w14:paraId="3A3D9990" w14:textId="77777777" w:rsidR="00C12B3D" w:rsidRPr="00C27B7B" w:rsidRDefault="00C12B3D" w:rsidP="00C12B3D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asciiTheme="minorHAnsi" w:hAnsiTheme="minorHAnsi" w:cstheme="minorHAnsi"/>
                <w:i/>
                <w:color w:val="16B4B5"/>
              </w:rPr>
            </w:pPr>
            <w:r w:rsidRPr="00C27B7B">
              <w:rPr>
                <w:rFonts w:asciiTheme="minorHAnsi" w:hAnsiTheme="minorHAnsi" w:cstheme="minorHAnsi"/>
                <w:i/>
                <w:color w:val="16B4B5"/>
              </w:rPr>
              <w:t>Perform a detailed case-note review to identify the reasons why women did not receive treatment.</w:t>
            </w:r>
          </w:p>
          <w:p w14:paraId="763B5FE1" w14:textId="77777777" w:rsidR="00E37004" w:rsidRPr="00C27B7B" w:rsidRDefault="00C12B3D" w:rsidP="00E37004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asciiTheme="minorHAnsi" w:hAnsiTheme="minorHAnsi" w:cstheme="minorHAnsi"/>
                <w:i/>
                <w:color w:val="16B4B5"/>
              </w:rPr>
            </w:pPr>
            <w:r w:rsidRPr="00C27B7B">
              <w:rPr>
                <w:rFonts w:asciiTheme="minorHAnsi" w:hAnsiTheme="minorHAnsi" w:cstheme="minorHAnsi"/>
                <w:i/>
                <w:color w:val="16B4B5"/>
              </w:rPr>
              <w:t>Assess eligibility for treatment based on the women’s pre-admission fitness and consider timely involvement of prehabilitation service.</w:t>
            </w:r>
          </w:p>
          <w:p w14:paraId="06870F59" w14:textId="0FF26D31" w:rsidR="00C12B3D" w:rsidRPr="00C27B7B" w:rsidRDefault="00E37004" w:rsidP="00E37004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asciiTheme="minorHAnsi" w:hAnsiTheme="minorHAnsi" w:cstheme="minorHAnsi"/>
                <w:i/>
                <w:color w:val="16B4B5"/>
              </w:rPr>
            </w:pPr>
            <w:r w:rsidRPr="00C27B7B">
              <w:rPr>
                <w:rFonts w:asciiTheme="minorHAnsi" w:hAnsiTheme="minorHAnsi" w:cstheme="minorHAnsi"/>
                <w:i/>
                <w:color w:val="16B4B5"/>
              </w:rPr>
              <w:t>Identify ways to cultivate</w:t>
            </w:r>
            <w:r w:rsidR="00C12B3D" w:rsidRPr="00C27B7B">
              <w:rPr>
                <w:rFonts w:asciiTheme="minorHAnsi" w:hAnsiTheme="minorHAnsi" w:cstheme="minorHAnsi"/>
                <w:i/>
                <w:color w:val="16B4B5"/>
              </w:rPr>
              <w:t xml:space="preserve"> close collaboration between the centre and the units within a gynaecological cancer system.</w:t>
            </w:r>
          </w:p>
        </w:tc>
        <w:tc>
          <w:tcPr>
            <w:tcW w:w="1342" w:type="dxa"/>
          </w:tcPr>
          <w:p w14:paraId="06646DD3" w14:textId="77777777" w:rsidR="00C12B3D" w:rsidRPr="00DD3BF7" w:rsidRDefault="00C12B3D" w:rsidP="00C12B3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8" w:type="dxa"/>
          </w:tcPr>
          <w:p w14:paraId="55D5FCBC" w14:textId="77777777" w:rsidR="00C12B3D" w:rsidRPr="00DD3BF7" w:rsidRDefault="00C12B3D" w:rsidP="00C12B3D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D4DA446" w14:textId="77777777" w:rsidR="00C12B3D" w:rsidRPr="00DD3BF7" w:rsidRDefault="00C12B3D" w:rsidP="00C12B3D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86" w:type="dxa"/>
          </w:tcPr>
          <w:p w14:paraId="76A3BB16" w14:textId="77777777" w:rsidR="00C12B3D" w:rsidRDefault="00C12B3D" w:rsidP="00C1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2B3D" w:rsidRPr="00DD3BF7" w14:paraId="6B0756BB" w14:textId="77777777" w:rsidTr="00480358">
        <w:tc>
          <w:tcPr>
            <w:tcW w:w="632" w:type="dxa"/>
          </w:tcPr>
          <w:p w14:paraId="67D93F6D" w14:textId="77777777" w:rsidR="00C12B3D" w:rsidRPr="00C27B7B" w:rsidRDefault="00C12B3D" w:rsidP="00C12B3D">
            <w:pPr>
              <w:rPr>
                <w:rFonts w:asciiTheme="minorHAnsi" w:hAnsiTheme="minorHAnsi" w:cstheme="minorHAnsi"/>
                <w:b/>
              </w:rPr>
            </w:pPr>
            <w:r w:rsidRPr="00C27B7B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041" w:type="dxa"/>
          </w:tcPr>
          <w:p w14:paraId="14632972" w14:textId="0090882A" w:rsidR="00C12B3D" w:rsidRPr="00E53E0F" w:rsidRDefault="00C12B3D" w:rsidP="00E53E0F">
            <w:pPr>
              <w:numPr>
                <w:ilvl w:val="0"/>
                <w:numId w:val="7"/>
              </w:numPr>
              <w:spacing w:line="259" w:lineRule="auto"/>
              <w:ind w:left="16"/>
              <w:contextualSpacing/>
              <w:rPr>
                <w:rFonts w:asciiTheme="minorHAnsi" w:eastAsia="Aptos" w:hAnsiTheme="minorHAnsi" w:cstheme="minorHAnsi"/>
                <w:b/>
              </w:rPr>
            </w:pPr>
            <w:r w:rsidRPr="00C27B7B">
              <w:rPr>
                <w:rFonts w:asciiTheme="minorHAnsi" w:eastAsia="Aptos" w:hAnsiTheme="minorHAnsi" w:cstheme="minorHAnsi"/>
                <w:b/>
              </w:rPr>
              <w:t>For women with stage 2 to 4 or unstaged ovarian cancer, increase the proportion of these women who receive treatment</w:t>
            </w:r>
            <w:r w:rsidR="00E53E0F">
              <w:rPr>
                <w:rFonts w:asciiTheme="minorHAnsi" w:eastAsia="Aptos" w:hAnsiTheme="minorHAnsi" w:cstheme="minorHAnsi"/>
                <w:b/>
              </w:rPr>
              <w:t>.</w:t>
            </w:r>
          </w:p>
        </w:tc>
        <w:tc>
          <w:tcPr>
            <w:tcW w:w="4799" w:type="dxa"/>
          </w:tcPr>
          <w:p w14:paraId="148F073F" w14:textId="77777777" w:rsidR="00E37004" w:rsidRPr="00C27B7B" w:rsidRDefault="00E37004" w:rsidP="00E37004">
            <w:pPr>
              <w:ind w:left="176" w:hanging="176"/>
              <w:contextualSpacing/>
              <w:rPr>
                <w:rFonts w:asciiTheme="minorHAnsi" w:hAnsiTheme="minorHAnsi" w:cstheme="minorHAnsi"/>
                <w:i/>
                <w:color w:val="16B4B5"/>
              </w:rPr>
            </w:pPr>
            <w:r w:rsidRPr="00C27B7B">
              <w:rPr>
                <w:rFonts w:asciiTheme="minorHAnsi" w:hAnsiTheme="minorHAnsi" w:cstheme="minorHAnsi"/>
                <w:i/>
                <w:color w:val="16B4B5"/>
              </w:rPr>
              <w:t>Suggested actions:</w:t>
            </w:r>
          </w:p>
          <w:p w14:paraId="1D975FBE" w14:textId="77777777" w:rsidR="00E37004" w:rsidRPr="00C27B7B" w:rsidRDefault="00E37004" w:rsidP="00E37004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asciiTheme="minorHAnsi" w:hAnsiTheme="minorHAnsi" w:cstheme="minorHAnsi"/>
                <w:i/>
                <w:color w:val="16B4B5"/>
              </w:rPr>
            </w:pPr>
            <w:r w:rsidRPr="00C27B7B">
              <w:rPr>
                <w:rFonts w:asciiTheme="minorHAnsi" w:hAnsiTheme="minorHAnsi" w:cstheme="minorHAnsi"/>
                <w:i/>
                <w:color w:val="16B4B5"/>
              </w:rPr>
              <w:t xml:space="preserve">Review the provision of treatment (any type) in your own Cancer Alliance/gynaecological cancer system/NHS trust or health board using the data dashboard. </w:t>
            </w:r>
          </w:p>
          <w:p w14:paraId="5340C2D4" w14:textId="77777777" w:rsidR="00E37004" w:rsidRPr="00C27B7B" w:rsidRDefault="00E37004" w:rsidP="00E37004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asciiTheme="minorHAnsi" w:hAnsiTheme="minorHAnsi" w:cstheme="minorHAnsi"/>
                <w:i/>
                <w:color w:val="16B4B5"/>
              </w:rPr>
            </w:pPr>
            <w:r w:rsidRPr="00C27B7B">
              <w:rPr>
                <w:rFonts w:asciiTheme="minorHAnsi" w:hAnsiTheme="minorHAnsi" w:cstheme="minorHAnsi"/>
                <w:i/>
                <w:color w:val="16B4B5"/>
              </w:rPr>
              <w:t>Identify barriers to the timely provision of surgery and/or chemotherapy to women with stage 2 to 4, or unstaged ovarian cancer.</w:t>
            </w:r>
          </w:p>
          <w:p w14:paraId="27297E88" w14:textId="77777777" w:rsidR="00E37004" w:rsidRPr="00C27B7B" w:rsidRDefault="00E37004" w:rsidP="00E37004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asciiTheme="minorHAnsi" w:hAnsiTheme="minorHAnsi" w:cstheme="minorHAnsi"/>
                <w:i/>
                <w:color w:val="16B4B5"/>
              </w:rPr>
            </w:pPr>
            <w:r w:rsidRPr="00C27B7B">
              <w:rPr>
                <w:rFonts w:asciiTheme="minorHAnsi" w:hAnsiTheme="minorHAnsi" w:cstheme="minorHAnsi"/>
                <w:i/>
                <w:color w:val="16B4B5"/>
              </w:rPr>
              <w:t>Review examples of good practice and consider incorporating them in your own practice.</w:t>
            </w:r>
          </w:p>
          <w:p w14:paraId="5E700F67" w14:textId="677FA6A9" w:rsidR="00C12B3D" w:rsidRPr="00C27B7B" w:rsidRDefault="00E37004" w:rsidP="00E37004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asciiTheme="minorHAnsi" w:hAnsiTheme="minorHAnsi" w:cstheme="minorHAnsi"/>
                <w:i/>
                <w:color w:val="16B4B5"/>
              </w:rPr>
            </w:pPr>
            <w:r w:rsidRPr="00C27B7B">
              <w:rPr>
                <w:rFonts w:asciiTheme="minorHAnsi" w:hAnsiTheme="minorHAnsi" w:cstheme="minorHAnsi"/>
                <w:i/>
                <w:color w:val="16B4B5"/>
              </w:rPr>
              <w:t>Develop local pathways to improve timely provision of treatment for these women.</w:t>
            </w:r>
          </w:p>
        </w:tc>
        <w:tc>
          <w:tcPr>
            <w:tcW w:w="1342" w:type="dxa"/>
          </w:tcPr>
          <w:p w14:paraId="0C0BD031" w14:textId="77777777" w:rsidR="00C12B3D" w:rsidRPr="00DD3BF7" w:rsidRDefault="00C12B3D" w:rsidP="00C12B3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8" w:type="dxa"/>
          </w:tcPr>
          <w:p w14:paraId="3C3E9F40" w14:textId="77777777" w:rsidR="00C12B3D" w:rsidRPr="00DD3BF7" w:rsidRDefault="00C12B3D" w:rsidP="00C12B3D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9701D9C" w14:textId="77777777" w:rsidR="00C12B3D" w:rsidRPr="00DD3BF7" w:rsidRDefault="00C12B3D" w:rsidP="00C12B3D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86" w:type="dxa"/>
          </w:tcPr>
          <w:p w14:paraId="6D2CCED3" w14:textId="77777777" w:rsidR="00C12B3D" w:rsidRDefault="00C12B3D" w:rsidP="00C1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2B3D" w:rsidRPr="00DD3BF7" w14:paraId="07543BF2" w14:textId="77777777" w:rsidTr="00480358">
        <w:tc>
          <w:tcPr>
            <w:tcW w:w="632" w:type="dxa"/>
          </w:tcPr>
          <w:p w14:paraId="13973B4C" w14:textId="77777777" w:rsidR="00C12B3D" w:rsidRPr="00C27B7B" w:rsidRDefault="00C12B3D" w:rsidP="00C12B3D">
            <w:pPr>
              <w:rPr>
                <w:rFonts w:asciiTheme="minorHAnsi" w:hAnsiTheme="minorHAnsi" w:cstheme="minorHAnsi"/>
                <w:b/>
              </w:rPr>
            </w:pPr>
            <w:r w:rsidRPr="00C27B7B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041" w:type="dxa"/>
          </w:tcPr>
          <w:p w14:paraId="2BCA93B9" w14:textId="5D32DA5C" w:rsidR="00C12B3D" w:rsidRPr="00E53E0F" w:rsidRDefault="00C12B3D" w:rsidP="00E53E0F">
            <w:pPr>
              <w:numPr>
                <w:ilvl w:val="0"/>
                <w:numId w:val="7"/>
              </w:numPr>
              <w:spacing w:line="259" w:lineRule="auto"/>
              <w:ind w:left="16"/>
              <w:contextualSpacing/>
              <w:rPr>
                <w:rFonts w:asciiTheme="minorHAnsi" w:eastAsia="Aptos" w:hAnsiTheme="minorHAnsi" w:cstheme="minorHAnsi"/>
                <w:b/>
              </w:rPr>
            </w:pPr>
            <w:r w:rsidRPr="00C27B7B">
              <w:rPr>
                <w:rFonts w:asciiTheme="minorHAnsi" w:eastAsia="Aptos" w:hAnsiTheme="minorHAnsi" w:cstheme="minorHAnsi"/>
                <w:b/>
              </w:rPr>
              <w:t>For women with epithelial ovarian cancer (stage 2 to 4, or unstaged), increase the proportion of these women who receive platinum-based chemotherapy</w:t>
            </w:r>
            <w:r w:rsidR="00E53E0F">
              <w:rPr>
                <w:rFonts w:asciiTheme="minorHAnsi" w:eastAsia="Aptos" w:hAnsiTheme="minorHAnsi" w:cstheme="minorHAnsi"/>
                <w:b/>
              </w:rPr>
              <w:t>.</w:t>
            </w:r>
          </w:p>
        </w:tc>
        <w:tc>
          <w:tcPr>
            <w:tcW w:w="4799" w:type="dxa"/>
          </w:tcPr>
          <w:p w14:paraId="6320CFB5" w14:textId="77777777" w:rsidR="00E37004" w:rsidRPr="00C27B7B" w:rsidRDefault="00E37004" w:rsidP="00E37004">
            <w:pPr>
              <w:ind w:left="176" w:hanging="176"/>
              <w:contextualSpacing/>
              <w:rPr>
                <w:rFonts w:asciiTheme="minorHAnsi" w:hAnsiTheme="minorHAnsi" w:cstheme="minorHAnsi"/>
                <w:i/>
                <w:color w:val="16B4B5"/>
              </w:rPr>
            </w:pPr>
            <w:r w:rsidRPr="00C27B7B">
              <w:rPr>
                <w:rFonts w:asciiTheme="minorHAnsi" w:hAnsiTheme="minorHAnsi" w:cstheme="minorHAnsi"/>
                <w:i/>
                <w:color w:val="16B4B5"/>
              </w:rPr>
              <w:t>Suggested actions:</w:t>
            </w:r>
          </w:p>
          <w:p w14:paraId="0D2F9600" w14:textId="77777777" w:rsidR="00E37004" w:rsidRPr="00C27B7B" w:rsidRDefault="00E37004" w:rsidP="00E37004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asciiTheme="minorHAnsi" w:hAnsiTheme="minorHAnsi" w:cstheme="minorHAnsi"/>
                <w:i/>
                <w:color w:val="16B4B5"/>
              </w:rPr>
            </w:pPr>
            <w:r w:rsidRPr="00C27B7B">
              <w:rPr>
                <w:rFonts w:asciiTheme="minorHAnsi" w:hAnsiTheme="minorHAnsi" w:cstheme="minorHAnsi"/>
                <w:i/>
                <w:color w:val="16B4B5"/>
              </w:rPr>
              <w:t>Review the provision of platinum-based chemotherapy in your own Cancer Alliance/gynaecological cancer system/NHS trust or health board using the data dashboard.</w:t>
            </w:r>
          </w:p>
          <w:p w14:paraId="5504F655" w14:textId="77777777" w:rsidR="00E37004" w:rsidRPr="00C27B7B" w:rsidRDefault="00E37004" w:rsidP="00E37004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asciiTheme="minorHAnsi" w:hAnsiTheme="minorHAnsi" w:cstheme="minorHAnsi"/>
                <w:i/>
                <w:color w:val="16B4B5"/>
              </w:rPr>
            </w:pPr>
            <w:r w:rsidRPr="00C27B7B">
              <w:rPr>
                <w:rFonts w:asciiTheme="minorHAnsi" w:hAnsiTheme="minorHAnsi" w:cstheme="minorHAnsi"/>
                <w:i/>
                <w:color w:val="16B4B5"/>
              </w:rPr>
              <w:t>Identify barriers to the timely provision of platinum-based chemotherapy to women with epithelial ovarian cancer (stage 2 to 4, or unstaged).</w:t>
            </w:r>
          </w:p>
          <w:p w14:paraId="6F7B7AE2" w14:textId="77777777" w:rsidR="00E37004" w:rsidRPr="00C27B7B" w:rsidRDefault="00E37004" w:rsidP="00E37004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asciiTheme="minorHAnsi" w:hAnsiTheme="minorHAnsi" w:cstheme="minorHAnsi"/>
                <w:i/>
                <w:color w:val="16B4B5"/>
              </w:rPr>
            </w:pPr>
            <w:r w:rsidRPr="00C27B7B">
              <w:rPr>
                <w:rFonts w:asciiTheme="minorHAnsi" w:hAnsiTheme="minorHAnsi" w:cstheme="minorHAnsi"/>
                <w:i/>
                <w:color w:val="16B4B5"/>
              </w:rPr>
              <w:lastRenderedPageBreak/>
              <w:t>Review examples of good practice and consider incorporating them in your own practice.</w:t>
            </w:r>
          </w:p>
          <w:p w14:paraId="1EF6D531" w14:textId="77777777" w:rsidR="00E37004" w:rsidRPr="00C27B7B" w:rsidRDefault="00E37004" w:rsidP="00E37004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asciiTheme="minorHAnsi" w:hAnsiTheme="minorHAnsi" w:cstheme="minorHAnsi"/>
                <w:i/>
                <w:color w:val="16B4B5"/>
              </w:rPr>
            </w:pPr>
            <w:r w:rsidRPr="00C27B7B">
              <w:rPr>
                <w:rFonts w:asciiTheme="minorHAnsi" w:hAnsiTheme="minorHAnsi" w:cstheme="minorHAnsi"/>
                <w:i/>
                <w:color w:val="16B4B5"/>
              </w:rPr>
              <w:t>Develop local pathways to improve timely provision of platinum-based chemotherapy for these women.</w:t>
            </w:r>
          </w:p>
          <w:p w14:paraId="5CD09D30" w14:textId="77777777" w:rsidR="00E37004" w:rsidRPr="00C27B7B" w:rsidRDefault="00E37004" w:rsidP="00E37004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asciiTheme="minorHAnsi" w:hAnsiTheme="minorHAnsi" w:cstheme="minorHAnsi"/>
                <w:i/>
                <w:color w:val="16B4B5"/>
              </w:rPr>
            </w:pPr>
            <w:r w:rsidRPr="00C27B7B">
              <w:rPr>
                <w:rFonts w:asciiTheme="minorHAnsi" w:hAnsiTheme="minorHAnsi" w:cstheme="minorHAnsi"/>
                <w:i/>
                <w:color w:val="16B4B5"/>
              </w:rPr>
              <w:t>Perform a detailed case-note review to identify why women did not receive any chemotherapy.</w:t>
            </w:r>
          </w:p>
          <w:p w14:paraId="79216654" w14:textId="77777777" w:rsidR="00E37004" w:rsidRPr="00C27B7B" w:rsidRDefault="00E37004" w:rsidP="00E37004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asciiTheme="minorHAnsi" w:hAnsiTheme="minorHAnsi" w:cstheme="minorHAnsi"/>
                <w:i/>
                <w:color w:val="16B4B5"/>
              </w:rPr>
            </w:pPr>
            <w:r w:rsidRPr="00C27B7B">
              <w:rPr>
                <w:rFonts w:asciiTheme="minorHAnsi" w:hAnsiTheme="minorHAnsi" w:cstheme="minorHAnsi"/>
                <w:i/>
                <w:color w:val="16B4B5"/>
              </w:rPr>
              <w:t>Document whether women eligible for treatment were offered it and the reasons for not treating, if appropriate.</w:t>
            </w:r>
          </w:p>
          <w:p w14:paraId="70B7BDD0" w14:textId="29E2B408" w:rsidR="00C12B3D" w:rsidRPr="00C27B7B" w:rsidRDefault="00E37004" w:rsidP="00E37004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asciiTheme="minorHAnsi" w:hAnsiTheme="minorHAnsi" w:cstheme="minorHAnsi"/>
                <w:i/>
                <w:color w:val="16B4B5"/>
              </w:rPr>
            </w:pPr>
            <w:r w:rsidRPr="00C27B7B">
              <w:rPr>
                <w:rFonts w:asciiTheme="minorHAnsi" w:hAnsiTheme="minorHAnsi" w:cstheme="minorHAnsi"/>
                <w:i/>
                <w:color w:val="16B4B5"/>
              </w:rPr>
              <w:t>Assess eligibility for treatment based on the women’s pre-admission fitness and consider timely involvement of prehabilitation service.</w:t>
            </w:r>
          </w:p>
        </w:tc>
        <w:tc>
          <w:tcPr>
            <w:tcW w:w="1342" w:type="dxa"/>
          </w:tcPr>
          <w:p w14:paraId="53F9D058" w14:textId="77777777" w:rsidR="00C12B3D" w:rsidRPr="00DD3BF7" w:rsidRDefault="00C12B3D" w:rsidP="00C12B3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8" w:type="dxa"/>
          </w:tcPr>
          <w:p w14:paraId="31BA9C82" w14:textId="77777777" w:rsidR="00C12B3D" w:rsidRPr="00DD3BF7" w:rsidRDefault="00C12B3D" w:rsidP="00C12B3D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F12E737" w14:textId="77777777" w:rsidR="00C12B3D" w:rsidRPr="00DD3BF7" w:rsidRDefault="00C12B3D" w:rsidP="00C12B3D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86" w:type="dxa"/>
          </w:tcPr>
          <w:p w14:paraId="733D0776" w14:textId="77777777" w:rsidR="00C12B3D" w:rsidRDefault="00C12B3D" w:rsidP="00C1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2B3D" w:rsidRPr="00DD3BF7" w14:paraId="6180A4D2" w14:textId="77777777" w:rsidTr="00480358">
        <w:tc>
          <w:tcPr>
            <w:tcW w:w="632" w:type="dxa"/>
          </w:tcPr>
          <w:p w14:paraId="458C72FA" w14:textId="77777777" w:rsidR="00C12B3D" w:rsidRPr="00C27B7B" w:rsidRDefault="00C12B3D" w:rsidP="00C12B3D">
            <w:pPr>
              <w:rPr>
                <w:rFonts w:asciiTheme="minorHAnsi" w:hAnsiTheme="minorHAnsi" w:cstheme="minorHAnsi"/>
                <w:b/>
              </w:rPr>
            </w:pPr>
            <w:r w:rsidRPr="00C27B7B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4041" w:type="dxa"/>
          </w:tcPr>
          <w:p w14:paraId="3823C646" w14:textId="622F56F1" w:rsidR="00C12B3D" w:rsidRPr="00E53E0F" w:rsidRDefault="00C12B3D" w:rsidP="00E53E0F">
            <w:pPr>
              <w:pStyle w:val="ListParagraph"/>
              <w:numPr>
                <w:ilvl w:val="0"/>
                <w:numId w:val="7"/>
              </w:numPr>
              <w:ind w:left="16"/>
              <w:rPr>
                <w:rFonts w:asciiTheme="minorHAnsi" w:hAnsiTheme="minorHAnsi" w:cstheme="minorHAnsi"/>
                <w:b/>
              </w:rPr>
            </w:pPr>
            <w:r w:rsidRPr="00C27B7B">
              <w:rPr>
                <w:rFonts w:asciiTheme="minorHAnsi" w:hAnsiTheme="minorHAnsi" w:cstheme="minorHAnsi"/>
                <w:b/>
              </w:rPr>
              <w:t>Review</w:t>
            </w:r>
            <w:r w:rsidRPr="00C27B7B">
              <w:rPr>
                <w:rFonts w:asciiTheme="minorHAnsi" w:hAnsiTheme="minorHAnsi" w:cstheme="minorHAnsi"/>
                <w:b/>
                <w:bCs/>
              </w:rPr>
              <w:t xml:space="preserve"> opportunities to improve</w:t>
            </w:r>
            <w:r w:rsidRPr="00C27B7B">
              <w:rPr>
                <w:rFonts w:asciiTheme="minorHAnsi" w:hAnsiTheme="minorHAnsi" w:cstheme="minorHAnsi"/>
                <w:b/>
              </w:rPr>
              <w:t xml:space="preserve"> one- and two-year survival in women diagnosed with ovarian cancer, especially when according to the performance indicator survival is lower than expecte</w:t>
            </w:r>
            <w:r w:rsidR="00E53E0F">
              <w:rPr>
                <w:rFonts w:asciiTheme="minorHAnsi" w:hAnsiTheme="minorHAnsi" w:cstheme="minorHAnsi"/>
                <w:b/>
              </w:rPr>
              <w:t>d.</w:t>
            </w:r>
          </w:p>
        </w:tc>
        <w:tc>
          <w:tcPr>
            <w:tcW w:w="4799" w:type="dxa"/>
          </w:tcPr>
          <w:p w14:paraId="32F57398" w14:textId="77777777" w:rsidR="00E37004" w:rsidRPr="00C27B7B" w:rsidRDefault="00E37004" w:rsidP="00E37004">
            <w:pPr>
              <w:ind w:left="176" w:hanging="176"/>
              <w:contextualSpacing/>
              <w:rPr>
                <w:rFonts w:asciiTheme="minorHAnsi" w:hAnsiTheme="minorHAnsi" w:cstheme="minorHAnsi"/>
                <w:i/>
                <w:color w:val="16B4B5"/>
              </w:rPr>
            </w:pPr>
            <w:r w:rsidRPr="00C27B7B">
              <w:rPr>
                <w:rFonts w:asciiTheme="minorHAnsi" w:hAnsiTheme="minorHAnsi" w:cstheme="minorHAnsi"/>
                <w:i/>
                <w:color w:val="16B4B5"/>
              </w:rPr>
              <w:t>Suggested actions:</w:t>
            </w:r>
          </w:p>
          <w:p w14:paraId="09B676C2" w14:textId="086C162C" w:rsidR="00B95C97" w:rsidRPr="00C27B7B" w:rsidRDefault="00B95C97" w:rsidP="00B95C97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asciiTheme="minorHAnsi" w:hAnsiTheme="minorHAnsi" w:cstheme="minorHAnsi"/>
                <w:i/>
                <w:color w:val="16B4B5"/>
              </w:rPr>
            </w:pPr>
            <w:r w:rsidRPr="00C27B7B">
              <w:rPr>
                <w:rFonts w:asciiTheme="minorHAnsi" w:hAnsiTheme="minorHAnsi" w:cstheme="minorHAnsi"/>
                <w:i/>
                <w:color w:val="16B4B5"/>
              </w:rPr>
              <w:t>Review one-year and two-year crude survival in your own Cancer Alliance/gynaecological cancer system/NHS trust or health board using the data dashboard.</w:t>
            </w:r>
          </w:p>
          <w:p w14:paraId="53CDD386" w14:textId="6250C524" w:rsidR="00B95C97" w:rsidRPr="00C27B7B" w:rsidRDefault="00B95C97" w:rsidP="00B95C97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asciiTheme="minorHAnsi" w:hAnsiTheme="minorHAnsi" w:cstheme="minorHAnsi"/>
                <w:i/>
                <w:color w:val="16B4B5"/>
              </w:rPr>
            </w:pPr>
            <w:r w:rsidRPr="00C27B7B">
              <w:rPr>
                <w:rFonts w:asciiTheme="minorHAnsi" w:hAnsiTheme="minorHAnsi" w:cstheme="minorHAnsi"/>
                <w:i/>
                <w:color w:val="16B4B5"/>
              </w:rPr>
              <w:t>Review one-year and two-year adjusted survival in your own Cancer Alliance/gynaecological cancer system/NHS trust or health board using the data dashboard.</w:t>
            </w:r>
          </w:p>
          <w:p w14:paraId="5A56EAB0" w14:textId="365FCC8F" w:rsidR="00C12B3D" w:rsidRPr="00C27B7B" w:rsidRDefault="00B95C97" w:rsidP="00B95C97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asciiTheme="minorHAnsi" w:hAnsiTheme="minorHAnsi" w:cstheme="minorHAnsi"/>
                <w:i/>
                <w:color w:val="16B4B5"/>
              </w:rPr>
            </w:pPr>
            <w:r w:rsidRPr="00C27B7B">
              <w:rPr>
                <w:rFonts w:asciiTheme="minorHAnsi" w:hAnsiTheme="minorHAnsi" w:cstheme="minorHAnsi"/>
                <w:i/>
                <w:color w:val="16B4B5"/>
              </w:rPr>
              <w:t>Identify potential reasons behind variation across gynaecological cancer systems</w:t>
            </w:r>
            <w:r w:rsidR="00692337" w:rsidRPr="00C27B7B">
              <w:rPr>
                <w:rFonts w:asciiTheme="minorHAnsi" w:hAnsiTheme="minorHAnsi" w:cstheme="minorHAnsi"/>
                <w:i/>
                <w:color w:val="16B4B5"/>
              </w:rPr>
              <w:t>.</w:t>
            </w:r>
          </w:p>
        </w:tc>
        <w:tc>
          <w:tcPr>
            <w:tcW w:w="1342" w:type="dxa"/>
          </w:tcPr>
          <w:p w14:paraId="53765759" w14:textId="77777777" w:rsidR="00C12B3D" w:rsidRPr="00DD3BF7" w:rsidRDefault="00C12B3D" w:rsidP="00C12B3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8" w:type="dxa"/>
          </w:tcPr>
          <w:p w14:paraId="7E01E35F" w14:textId="77777777" w:rsidR="00C12B3D" w:rsidRPr="00DD3BF7" w:rsidRDefault="00C12B3D" w:rsidP="00C12B3D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97C9EE3" w14:textId="77777777" w:rsidR="00C12B3D" w:rsidRPr="00DD3BF7" w:rsidRDefault="00C12B3D" w:rsidP="00C12B3D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86" w:type="dxa"/>
          </w:tcPr>
          <w:p w14:paraId="2CE8292E" w14:textId="77777777" w:rsidR="00C12B3D" w:rsidRDefault="00C12B3D" w:rsidP="00C1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F4007B3" w14:textId="77777777" w:rsidR="00236AA9" w:rsidRPr="00DD3BF7" w:rsidRDefault="00236AA9" w:rsidP="00236AA9">
      <w:pPr>
        <w:rPr>
          <w:rFonts w:asciiTheme="minorHAnsi" w:hAnsiTheme="minorHAnsi" w:cstheme="minorHAnsi"/>
        </w:rPr>
      </w:pPr>
    </w:p>
    <w:p w14:paraId="767417B8" w14:textId="44A8465B" w:rsidR="00236AA9" w:rsidRPr="00DD3BF7" w:rsidRDefault="00236AA9" w:rsidP="00236AA9">
      <w:pPr>
        <w:rPr>
          <w:rFonts w:asciiTheme="minorHAnsi" w:hAnsiTheme="minorHAnsi" w:cstheme="minorHAnsi"/>
        </w:rPr>
      </w:pPr>
      <w:r w:rsidRPr="00DD3BF7">
        <w:rPr>
          <w:rFonts w:asciiTheme="minorHAnsi" w:hAnsiTheme="minorHAnsi" w:cstheme="minorHAnsi"/>
        </w:rPr>
        <w:t>The N</w:t>
      </w:r>
      <w:r>
        <w:rPr>
          <w:rFonts w:asciiTheme="minorHAnsi" w:hAnsiTheme="minorHAnsi" w:cstheme="minorHAnsi"/>
        </w:rPr>
        <w:t>O</w:t>
      </w:r>
      <w:r w:rsidRPr="00DD3BF7">
        <w:rPr>
          <w:rFonts w:asciiTheme="minorHAnsi" w:hAnsiTheme="minorHAnsi" w:cstheme="minorHAnsi"/>
        </w:rPr>
        <w:t>CA welcome your feedback on this quality improvement template to be used in conjunction with the N</w:t>
      </w:r>
      <w:r>
        <w:rPr>
          <w:rFonts w:asciiTheme="minorHAnsi" w:hAnsiTheme="minorHAnsi" w:cstheme="minorHAnsi"/>
        </w:rPr>
        <w:t>O</w:t>
      </w:r>
      <w:r w:rsidRPr="00DD3BF7">
        <w:rPr>
          <w:rFonts w:asciiTheme="minorHAnsi" w:hAnsiTheme="minorHAnsi" w:cstheme="minorHAnsi"/>
        </w:rPr>
        <w:t xml:space="preserve">CA </w:t>
      </w:r>
      <w:r>
        <w:rPr>
          <w:rFonts w:asciiTheme="minorHAnsi" w:hAnsiTheme="minorHAnsi" w:cstheme="minorHAnsi"/>
        </w:rPr>
        <w:t>State of the Nation</w:t>
      </w:r>
      <w:r w:rsidRPr="00DD3BF7">
        <w:rPr>
          <w:rFonts w:asciiTheme="minorHAnsi" w:hAnsiTheme="minorHAnsi" w:cstheme="minorHAnsi"/>
        </w:rPr>
        <w:t xml:space="preserve"> Repor</w:t>
      </w:r>
      <w:r>
        <w:rPr>
          <w:rFonts w:asciiTheme="minorHAnsi" w:hAnsiTheme="minorHAnsi" w:cstheme="minorHAnsi"/>
        </w:rPr>
        <w:t>t 202</w:t>
      </w:r>
      <w:r w:rsidR="00AC2EE6">
        <w:rPr>
          <w:rFonts w:asciiTheme="minorHAnsi" w:hAnsiTheme="minorHAnsi" w:cstheme="minorHAnsi"/>
        </w:rPr>
        <w:t>6</w:t>
      </w:r>
      <w:r w:rsidRPr="00DD3BF7">
        <w:rPr>
          <w:rFonts w:asciiTheme="minorHAnsi" w:hAnsiTheme="minorHAnsi" w:cstheme="minorHAnsi"/>
        </w:rPr>
        <w:t xml:space="preserve"> provider level results and quality improvement resources presented on our website. </w:t>
      </w:r>
    </w:p>
    <w:p w14:paraId="5EBEE8CD" w14:textId="77777777" w:rsidR="00236AA9" w:rsidRPr="00DD3BF7" w:rsidRDefault="00236AA9" w:rsidP="00236AA9">
      <w:pPr>
        <w:rPr>
          <w:rFonts w:asciiTheme="minorHAnsi" w:hAnsiTheme="minorHAnsi" w:cstheme="minorHAnsi"/>
        </w:rPr>
      </w:pPr>
    </w:p>
    <w:p w14:paraId="5CF5DD28" w14:textId="78029F31" w:rsidR="00236AA9" w:rsidRPr="00DD3BF7" w:rsidRDefault="00236AA9" w:rsidP="00236AA9">
      <w:pPr>
        <w:rPr>
          <w:rFonts w:asciiTheme="minorHAnsi" w:hAnsiTheme="minorHAnsi" w:cstheme="minorHAnsi"/>
        </w:rPr>
      </w:pPr>
      <w:r w:rsidRPr="00DD3BF7">
        <w:rPr>
          <w:rFonts w:asciiTheme="minorHAnsi" w:hAnsiTheme="minorHAnsi" w:cstheme="minorHAnsi"/>
        </w:rPr>
        <w:t>Please contact the N</w:t>
      </w:r>
      <w:r>
        <w:rPr>
          <w:rFonts w:asciiTheme="minorHAnsi" w:hAnsiTheme="minorHAnsi" w:cstheme="minorHAnsi"/>
        </w:rPr>
        <w:t>O</w:t>
      </w:r>
      <w:r w:rsidRPr="00DD3BF7">
        <w:rPr>
          <w:rFonts w:asciiTheme="minorHAnsi" w:hAnsiTheme="minorHAnsi" w:cstheme="minorHAnsi"/>
        </w:rPr>
        <w:t xml:space="preserve">CA team </w:t>
      </w:r>
      <w:hyperlink r:id="rId10" w:history="1">
        <w:r w:rsidRPr="008439C2">
          <w:rPr>
            <w:rStyle w:val="Hyperlink"/>
            <w:rFonts w:asciiTheme="minorHAnsi" w:hAnsiTheme="minorHAnsi" w:cstheme="minorHAnsi"/>
          </w:rPr>
          <w:t>ovariancanceraudit@rcseng.ac.uk</w:t>
        </w:r>
      </w:hyperlink>
      <w:r>
        <w:rPr>
          <w:rFonts w:asciiTheme="minorHAnsi" w:hAnsiTheme="minorHAnsi" w:cstheme="minorHAnsi"/>
        </w:rPr>
        <w:t xml:space="preserve"> </w:t>
      </w:r>
      <w:r w:rsidRPr="00DD3BF7">
        <w:rPr>
          <w:rFonts w:asciiTheme="minorHAnsi" w:hAnsiTheme="minorHAnsi" w:cstheme="minorHAnsi"/>
        </w:rPr>
        <w:t xml:space="preserve">if you have any questions related to your results, data collection or service improvement. </w:t>
      </w:r>
    </w:p>
    <w:p w14:paraId="5F323BD2" w14:textId="77777777" w:rsidR="00236AA9" w:rsidRPr="00DD3BF7" w:rsidRDefault="00236AA9" w:rsidP="00236AA9">
      <w:pPr>
        <w:rPr>
          <w:rFonts w:asciiTheme="minorHAnsi" w:hAnsiTheme="minorHAnsi" w:cstheme="minorHAnsi"/>
        </w:rPr>
      </w:pPr>
    </w:p>
    <w:p w14:paraId="252DBD89" w14:textId="77777777" w:rsidR="00236AA9" w:rsidRPr="00611EB7" w:rsidRDefault="00236AA9" w:rsidP="00236AA9">
      <w:pPr>
        <w:rPr>
          <w:rFonts w:asciiTheme="minorHAnsi" w:hAnsiTheme="minorHAnsi" w:cstheme="minorHAnsi"/>
        </w:rPr>
      </w:pPr>
      <w:r w:rsidRPr="00611EB7">
        <w:rPr>
          <w:rFonts w:asciiTheme="minorHAnsi" w:hAnsiTheme="minorHAnsi" w:cstheme="minorHAnsi"/>
          <w:b/>
        </w:rPr>
        <w:t>References</w:t>
      </w:r>
    </w:p>
    <w:p w14:paraId="3487927A" w14:textId="392B789B" w:rsidR="002B66C2" w:rsidRDefault="002B66C2" w:rsidP="002B66C2">
      <w:pPr>
        <w:numPr>
          <w:ilvl w:val="0"/>
          <w:numId w:val="3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2B66C2">
        <w:rPr>
          <w:rFonts w:asciiTheme="minorHAnsi" w:hAnsiTheme="minorHAnsi" w:cstheme="minorHAnsi"/>
          <w:sz w:val="20"/>
          <w:szCs w:val="20"/>
        </w:rPr>
        <w:lastRenderedPageBreak/>
        <w:t>National Ovarian Cancer Audit (NOCA) State of the Nation Report 202</w:t>
      </w:r>
      <w:r w:rsidR="00A66EE3">
        <w:rPr>
          <w:rFonts w:asciiTheme="minorHAnsi" w:hAnsiTheme="minorHAnsi" w:cstheme="minorHAnsi"/>
          <w:sz w:val="20"/>
          <w:szCs w:val="20"/>
        </w:rPr>
        <w:t>6</w:t>
      </w:r>
      <w:r w:rsidRPr="002B66C2">
        <w:rPr>
          <w:rFonts w:asciiTheme="minorHAnsi" w:hAnsiTheme="minorHAnsi" w:cstheme="minorHAnsi"/>
          <w:sz w:val="20"/>
          <w:szCs w:val="20"/>
        </w:rPr>
        <w:t>. London: National Cancer Audit Collaborating Centre, Royal College of Surgeons of England, 202</w:t>
      </w:r>
      <w:r w:rsidR="00A66EE3">
        <w:rPr>
          <w:rFonts w:asciiTheme="minorHAnsi" w:hAnsiTheme="minorHAnsi" w:cstheme="minorHAnsi"/>
          <w:sz w:val="20"/>
          <w:szCs w:val="20"/>
        </w:rPr>
        <w:t>6</w:t>
      </w:r>
      <w:r w:rsidRPr="002B66C2">
        <w:rPr>
          <w:rFonts w:asciiTheme="minorHAnsi" w:hAnsiTheme="minorHAnsi" w:cstheme="minorHAnsi"/>
          <w:sz w:val="20"/>
          <w:szCs w:val="20"/>
        </w:rPr>
        <w:t>.</w:t>
      </w:r>
    </w:p>
    <w:p w14:paraId="2DFCF56A" w14:textId="4087118C" w:rsidR="00755E34" w:rsidRDefault="00236AA9" w:rsidP="00755E34">
      <w:pPr>
        <w:numPr>
          <w:ilvl w:val="0"/>
          <w:numId w:val="3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2B66C2">
        <w:rPr>
          <w:rFonts w:asciiTheme="minorHAnsi" w:hAnsiTheme="minorHAnsi" w:cstheme="minorHAnsi"/>
          <w:sz w:val="20"/>
          <w:szCs w:val="20"/>
        </w:rPr>
        <w:t>NICE Guideline</w:t>
      </w:r>
      <w:r w:rsidR="00755E34">
        <w:rPr>
          <w:rFonts w:asciiTheme="minorHAnsi" w:hAnsiTheme="minorHAnsi" w:cstheme="minorHAnsi"/>
          <w:sz w:val="20"/>
          <w:szCs w:val="20"/>
        </w:rPr>
        <w:t xml:space="preserve"> -</w:t>
      </w:r>
      <w:r w:rsidRPr="002B66C2">
        <w:rPr>
          <w:rFonts w:asciiTheme="minorHAnsi" w:hAnsiTheme="minorHAnsi" w:cstheme="minorHAnsi"/>
          <w:sz w:val="20"/>
          <w:szCs w:val="20"/>
        </w:rPr>
        <w:t xml:space="preserve"> </w:t>
      </w:r>
      <w:r w:rsidR="00755E34" w:rsidRPr="00755E34">
        <w:rPr>
          <w:rFonts w:asciiTheme="minorHAnsi" w:hAnsiTheme="minorHAnsi" w:cstheme="minorHAnsi"/>
          <w:sz w:val="20"/>
          <w:szCs w:val="20"/>
        </w:rPr>
        <w:t>Suspected cancer: recognition and referral</w:t>
      </w:r>
      <w:r w:rsidRPr="002B66C2">
        <w:rPr>
          <w:rFonts w:asciiTheme="minorHAnsi" w:hAnsiTheme="minorHAnsi" w:cstheme="minorHAnsi"/>
          <w:sz w:val="20"/>
          <w:szCs w:val="20"/>
        </w:rPr>
        <w:t xml:space="preserve"> (20</w:t>
      </w:r>
      <w:r w:rsidR="00755E34">
        <w:rPr>
          <w:rFonts w:asciiTheme="minorHAnsi" w:hAnsiTheme="minorHAnsi" w:cstheme="minorHAnsi"/>
          <w:sz w:val="20"/>
          <w:szCs w:val="20"/>
        </w:rPr>
        <w:t>23</w:t>
      </w:r>
      <w:r w:rsidRPr="002B66C2">
        <w:rPr>
          <w:rFonts w:asciiTheme="minorHAnsi" w:hAnsiTheme="minorHAnsi" w:cstheme="minorHAnsi"/>
          <w:sz w:val="20"/>
          <w:szCs w:val="20"/>
        </w:rPr>
        <w:t>) NICE guideline [</w:t>
      </w:r>
      <w:hyperlink r:id="rId11" w:anchor="gynaecological-cancers" w:history="1">
        <w:r w:rsidRPr="00755E34">
          <w:rPr>
            <w:rStyle w:val="Hyperlink"/>
            <w:rFonts w:asciiTheme="minorHAnsi" w:hAnsiTheme="minorHAnsi" w:cstheme="minorHAnsi"/>
            <w:sz w:val="20"/>
            <w:szCs w:val="20"/>
          </w:rPr>
          <w:t>NG12</w:t>
        </w:r>
      </w:hyperlink>
      <w:r w:rsidRPr="002B66C2">
        <w:rPr>
          <w:rFonts w:asciiTheme="minorHAnsi" w:hAnsiTheme="minorHAnsi" w:cstheme="minorHAnsi"/>
          <w:sz w:val="20"/>
          <w:szCs w:val="20"/>
        </w:rPr>
        <w:t>]</w:t>
      </w:r>
    </w:p>
    <w:p w14:paraId="130E9FE4" w14:textId="0956F9E7" w:rsidR="00E53C20" w:rsidRPr="00E53C20" w:rsidRDefault="00E53C20" w:rsidP="00E53C20">
      <w:pPr>
        <w:numPr>
          <w:ilvl w:val="0"/>
          <w:numId w:val="3"/>
        </w:numPr>
        <w:contextualSpacing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2B66C2">
        <w:rPr>
          <w:rFonts w:asciiTheme="minorHAnsi" w:hAnsiTheme="minorHAnsi" w:cstheme="minorHAnsi"/>
          <w:sz w:val="20"/>
          <w:szCs w:val="20"/>
        </w:rPr>
        <w:t>NICE Guid</w:t>
      </w:r>
      <w:r>
        <w:rPr>
          <w:rFonts w:asciiTheme="minorHAnsi" w:hAnsiTheme="minorHAnsi" w:cstheme="minorHAnsi"/>
          <w:sz w:val="20"/>
          <w:szCs w:val="20"/>
        </w:rPr>
        <w:t xml:space="preserve">ance - </w:t>
      </w:r>
      <w:r w:rsidRPr="00E53C20">
        <w:rPr>
          <w:rFonts w:asciiTheme="minorHAnsi" w:hAnsiTheme="minorHAnsi" w:cstheme="minorHAnsi"/>
          <w:sz w:val="20"/>
          <w:szCs w:val="20"/>
        </w:rPr>
        <w:t xml:space="preserve">Ovarian cancer: recognition and initial management </w:t>
      </w:r>
      <w:r w:rsidRPr="002B66C2">
        <w:rPr>
          <w:rFonts w:asciiTheme="minorHAnsi" w:hAnsiTheme="minorHAnsi" w:cstheme="minorHAnsi"/>
          <w:sz w:val="20"/>
          <w:szCs w:val="20"/>
        </w:rPr>
        <w:t>(20</w:t>
      </w:r>
      <w:r>
        <w:rPr>
          <w:rFonts w:asciiTheme="minorHAnsi" w:hAnsiTheme="minorHAnsi" w:cstheme="minorHAnsi"/>
          <w:sz w:val="20"/>
          <w:szCs w:val="20"/>
        </w:rPr>
        <w:t>23</w:t>
      </w:r>
      <w:r w:rsidRPr="002B66C2">
        <w:rPr>
          <w:rFonts w:asciiTheme="minorHAnsi" w:hAnsiTheme="minorHAnsi" w:cstheme="minorHAnsi"/>
          <w:sz w:val="20"/>
          <w:szCs w:val="20"/>
        </w:rPr>
        <w:t xml:space="preserve">) </w:t>
      </w:r>
      <w:r w:rsidRPr="00E53C20">
        <w:rPr>
          <w:rFonts w:asciiTheme="minorHAnsi" w:hAnsiTheme="minorHAnsi" w:cstheme="minorHAnsi"/>
          <w:sz w:val="20"/>
          <w:szCs w:val="20"/>
        </w:rPr>
        <w:t xml:space="preserve">Clinical guideline </w:t>
      </w:r>
      <w:r w:rsidRPr="002B66C2">
        <w:rPr>
          <w:rFonts w:asciiTheme="minorHAnsi" w:hAnsiTheme="minorHAnsi" w:cstheme="minorHAnsi"/>
          <w:sz w:val="20"/>
          <w:szCs w:val="20"/>
        </w:rPr>
        <w:t>[</w:t>
      </w:r>
      <w:hyperlink r:id="rId12" w:history="1">
        <w:r w:rsidRPr="00E53C20">
          <w:rPr>
            <w:rStyle w:val="Hyperlink"/>
            <w:rFonts w:asciiTheme="minorHAnsi" w:hAnsiTheme="minorHAnsi" w:cstheme="minorHAnsi"/>
            <w:sz w:val="20"/>
            <w:szCs w:val="20"/>
          </w:rPr>
          <w:t>CG122</w:t>
        </w:r>
      </w:hyperlink>
      <w:r w:rsidRPr="002B66C2">
        <w:rPr>
          <w:rFonts w:asciiTheme="minorHAnsi" w:hAnsiTheme="minorHAnsi" w:cstheme="minorHAnsi"/>
          <w:sz w:val="20"/>
          <w:szCs w:val="20"/>
        </w:rPr>
        <w:t>]</w:t>
      </w:r>
    </w:p>
    <w:p w14:paraId="190DBB93" w14:textId="665E2234" w:rsidR="00755E34" w:rsidRDefault="00755E34" w:rsidP="00755E34">
      <w:pPr>
        <w:numPr>
          <w:ilvl w:val="0"/>
          <w:numId w:val="3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755E34">
        <w:rPr>
          <w:rFonts w:asciiTheme="minorHAnsi" w:hAnsiTheme="minorHAnsi" w:cstheme="minorHAnsi"/>
          <w:sz w:val="20"/>
          <w:szCs w:val="20"/>
        </w:rPr>
        <w:t xml:space="preserve">Ledermann J A, Matias-Guiu X, Amant F, Concin N, Davidson B, Fotopoulou C, et al. </w:t>
      </w:r>
      <w:hyperlink r:id="rId13" w:history="1">
        <w:r w:rsidRPr="00755E34">
          <w:rPr>
            <w:rStyle w:val="Hyperlink"/>
            <w:rFonts w:asciiTheme="minorHAnsi" w:hAnsiTheme="minorHAnsi" w:cstheme="minorHAnsi"/>
            <w:sz w:val="20"/>
            <w:szCs w:val="20"/>
          </w:rPr>
          <w:t>ESGO–ESMO–ESP consensus conference recommendations on ovarian cancer: pathology and molecular biology and early, advanced and recurrent disease.</w:t>
        </w:r>
      </w:hyperlink>
      <w:r w:rsidRPr="00755E34">
        <w:rPr>
          <w:rFonts w:asciiTheme="minorHAnsi" w:hAnsiTheme="minorHAnsi" w:cstheme="minorHAnsi"/>
          <w:sz w:val="20"/>
          <w:szCs w:val="20"/>
        </w:rPr>
        <w:t xml:space="preserve"> Ann Oncol. 2024 Mar;35(3):248-266.</w:t>
      </w:r>
    </w:p>
    <w:p w14:paraId="71DADFED" w14:textId="774913F2" w:rsidR="00236AA9" w:rsidRPr="00755E34" w:rsidRDefault="00755E34" w:rsidP="00755E34">
      <w:pPr>
        <w:numPr>
          <w:ilvl w:val="0"/>
          <w:numId w:val="3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755E34">
        <w:rPr>
          <w:rFonts w:asciiTheme="minorHAnsi" w:hAnsiTheme="minorHAnsi" w:cstheme="minorHAnsi"/>
          <w:sz w:val="20"/>
          <w:szCs w:val="20"/>
        </w:rPr>
        <w:t xml:space="preserve">Moss E, Taylor A, Andreou A, Ang C, Arora R, Attygalle A, et al. </w:t>
      </w:r>
      <w:hyperlink r:id="rId14" w:history="1">
        <w:r w:rsidRPr="00E53C20">
          <w:rPr>
            <w:rStyle w:val="Hyperlink"/>
            <w:rFonts w:asciiTheme="minorHAnsi" w:hAnsiTheme="minorHAnsi" w:cstheme="minorHAnsi"/>
            <w:sz w:val="20"/>
            <w:szCs w:val="20"/>
          </w:rPr>
          <w:t>British Gynaecological Cancer Society (BGCS) ovarian, tubal and primary peritoneal cancer guidelines: Recommendations for practice update 2024.</w:t>
        </w:r>
      </w:hyperlink>
      <w:r w:rsidRPr="00755E34">
        <w:rPr>
          <w:rFonts w:asciiTheme="minorHAnsi" w:hAnsiTheme="minorHAnsi" w:cstheme="minorHAnsi"/>
          <w:sz w:val="20"/>
          <w:szCs w:val="20"/>
        </w:rPr>
        <w:t xml:space="preserve"> European Journal of Obstetrics &amp; Gynecology and Reproductive Biology. 10.1016/j.ejogrb.2024.06.025.</w:t>
      </w:r>
    </w:p>
    <w:p w14:paraId="112E6EE7" w14:textId="77777777" w:rsidR="008607BF" w:rsidRPr="008607BF" w:rsidRDefault="008607BF" w:rsidP="008607BF"/>
    <w:sectPr w:rsidR="008607BF" w:rsidRPr="008607BF" w:rsidSect="00236AA9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DBAC1" w14:textId="77777777" w:rsidR="00286519" w:rsidRDefault="00286519">
      <w:pPr>
        <w:spacing w:line="240" w:lineRule="auto"/>
      </w:pPr>
      <w:r>
        <w:separator/>
      </w:r>
    </w:p>
  </w:endnote>
  <w:endnote w:type="continuationSeparator" w:id="0">
    <w:p w14:paraId="22916B27" w14:textId="77777777" w:rsidR="00286519" w:rsidRDefault="002865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ter Light">
    <w:charset w:val="00"/>
    <w:family w:val="auto"/>
    <w:pitch w:val="variable"/>
    <w:sig w:usb0="E0000AFF" w:usb1="5200A1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9E0C" w14:textId="77777777" w:rsidR="00286519" w:rsidRDefault="00286519">
      <w:pPr>
        <w:spacing w:line="240" w:lineRule="auto"/>
      </w:pPr>
      <w:r>
        <w:separator/>
      </w:r>
    </w:p>
  </w:footnote>
  <w:footnote w:type="continuationSeparator" w:id="0">
    <w:p w14:paraId="24E6A185" w14:textId="77777777" w:rsidR="00286519" w:rsidRDefault="002865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11A4" w14:textId="77777777" w:rsidR="00E53C20" w:rsidRDefault="00E53C20" w:rsidP="00FE37E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41506"/>
    <w:multiLevelType w:val="hybridMultilevel"/>
    <w:tmpl w:val="75780CB0"/>
    <w:lvl w:ilvl="0" w:tplc="0F36EF4A">
      <w:start w:val="3"/>
      <w:numFmt w:val="bullet"/>
      <w:lvlText w:val="•"/>
      <w:lvlJc w:val="left"/>
      <w:pPr>
        <w:ind w:left="686" w:hanging="360"/>
      </w:pPr>
      <w:rPr>
        <w:rFonts w:ascii="Inter Light" w:eastAsiaTheme="minorHAnsi" w:hAnsi="Inter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1" w15:restartNumberingAfterBreak="0">
    <w:nsid w:val="11384FBC"/>
    <w:multiLevelType w:val="hybridMultilevel"/>
    <w:tmpl w:val="3D3C6FAE"/>
    <w:lvl w:ilvl="0" w:tplc="BE0A3D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94603F"/>
    <w:multiLevelType w:val="hybridMultilevel"/>
    <w:tmpl w:val="843EA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635D6"/>
    <w:multiLevelType w:val="hybridMultilevel"/>
    <w:tmpl w:val="AFB43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5249B"/>
    <w:multiLevelType w:val="hybridMultilevel"/>
    <w:tmpl w:val="EB84D998"/>
    <w:lvl w:ilvl="0" w:tplc="08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5" w15:restartNumberingAfterBreak="0">
    <w:nsid w:val="32B57742"/>
    <w:multiLevelType w:val="hybridMultilevel"/>
    <w:tmpl w:val="F216D978"/>
    <w:lvl w:ilvl="0" w:tplc="66961B86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9720FE"/>
    <w:multiLevelType w:val="hybridMultilevel"/>
    <w:tmpl w:val="439635EA"/>
    <w:lvl w:ilvl="0" w:tplc="39C00362">
      <w:numFmt w:val="bullet"/>
      <w:lvlText w:val="•"/>
      <w:lvlJc w:val="left"/>
      <w:pPr>
        <w:ind w:left="32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7" w15:restartNumberingAfterBreak="0">
    <w:nsid w:val="3D9B2293"/>
    <w:multiLevelType w:val="hybridMultilevel"/>
    <w:tmpl w:val="1B142BFE"/>
    <w:lvl w:ilvl="0" w:tplc="0F36EF4A">
      <w:start w:val="3"/>
      <w:numFmt w:val="bullet"/>
      <w:lvlText w:val="•"/>
      <w:lvlJc w:val="left"/>
      <w:pPr>
        <w:ind w:left="720" w:hanging="360"/>
      </w:pPr>
      <w:rPr>
        <w:rFonts w:ascii="Inter Light" w:eastAsiaTheme="minorHAnsi" w:hAnsi="Inter Light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2799D"/>
    <w:multiLevelType w:val="hybridMultilevel"/>
    <w:tmpl w:val="DFE02616"/>
    <w:lvl w:ilvl="0" w:tplc="66961B86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9" w15:restartNumberingAfterBreak="0">
    <w:nsid w:val="58FB683C"/>
    <w:multiLevelType w:val="hybridMultilevel"/>
    <w:tmpl w:val="7D56C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97AA8"/>
    <w:multiLevelType w:val="hybridMultilevel"/>
    <w:tmpl w:val="FD16C5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60585E"/>
    <w:multiLevelType w:val="hybridMultilevel"/>
    <w:tmpl w:val="CF3E0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16D14"/>
    <w:multiLevelType w:val="hybridMultilevel"/>
    <w:tmpl w:val="945E888C"/>
    <w:lvl w:ilvl="0" w:tplc="F868377E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207716">
    <w:abstractNumId w:val="11"/>
  </w:num>
  <w:num w:numId="2" w16cid:durableId="71435066">
    <w:abstractNumId w:val="3"/>
  </w:num>
  <w:num w:numId="3" w16cid:durableId="1884097988">
    <w:abstractNumId w:val="12"/>
  </w:num>
  <w:num w:numId="4" w16cid:durableId="2029793046">
    <w:abstractNumId w:val="2"/>
  </w:num>
  <w:num w:numId="5" w16cid:durableId="398481674">
    <w:abstractNumId w:val="9"/>
  </w:num>
  <w:num w:numId="6" w16cid:durableId="16338982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6373539">
    <w:abstractNumId w:val="10"/>
  </w:num>
  <w:num w:numId="8" w16cid:durableId="1190025735">
    <w:abstractNumId w:val="1"/>
  </w:num>
  <w:num w:numId="9" w16cid:durableId="1235354941">
    <w:abstractNumId w:val="5"/>
  </w:num>
  <w:num w:numId="10" w16cid:durableId="274795275">
    <w:abstractNumId w:val="8"/>
  </w:num>
  <w:num w:numId="11" w16cid:durableId="681056301">
    <w:abstractNumId w:val="4"/>
  </w:num>
  <w:num w:numId="12" w16cid:durableId="446775930">
    <w:abstractNumId w:val="0"/>
  </w:num>
  <w:num w:numId="13" w16cid:durableId="1616906781">
    <w:abstractNumId w:val="6"/>
  </w:num>
  <w:num w:numId="14" w16cid:durableId="1338116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BC"/>
    <w:rsid w:val="00025C25"/>
    <w:rsid w:val="00050A7E"/>
    <w:rsid w:val="000641ED"/>
    <w:rsid w:val="000874D5"/>
    <w:rsid w:val="000E6F71"/>
    <w:rsid w:val="00111A23"/>
    <w:rsid w:val="001F0C2F"/>
    <w:rsid w:val="001F7D7C"/>
    <w:rsid w:val="002101EE"/>
    <w:rsid w:val="00236AA9"/>
    <w:rsid w:val="002656F2"/>
    <w:rsid w:val="00286519"/>
    <w:rsid w:val="002B66C2"/>
    <w:rsid w:val="002D17A2"/>
    <w:rsid w:val="002D2AA9"/>
    <w:rsid w:val="002F4ECA"/>
    <w:rsid w:val="003346AA"/>
    <w:rsid w:val="00337CA3"/>
    <w:rsid w:val="0035264F"/>
    <w:rsid w:val="00391D66"/>
    <w:rsid w:val="003961DA"/>
    <w:rsid w:val="003A0688"/>
    <w:rsid w:val="003C0983"/>
    <w:rsid w:val="004402E2"/>
    <w:rsid w:val="00460288"/>
    <w:rsid w:val="00480358"/>
    <w:rsid w:val="004C230E"/>
    <w:rsid w:val="004E132B"/>
    <w:rsid w:val="004F0731"/>
    <w:rsid w:val="005256B1"/>
    <w:rsid w:val="00541377"/>
    <w:rsid w:val="00547C69"/>
    <w:rsid w:val="005A2001"/>
    <w:rsid w:val="005B1BD5"/>
    <w:rsid w:val="005C6D9C"/>
    <w:rsid w:val="005E7F94"/>
    <w:rsid w:val="005F2322"/>
    <w:rsid w:val="005F3EB4"/>
    <w:rsid w:val="00605BBC"/>
    <w:rsid w:val="006109DC"/>
    <w:rsid w:val="00671567"/>
    <w:rsid w:val="00692337"/>
    <w:rsid w:val="0070272E"/>
    <w:rsid w:val="0072552A"/>
    <w:rsid w:val="0072556E"/>
    <w:rsid w:val="00750D03"/>
    <w:rsid w:val="00755E34"/>
    <w:rsid w:val="00760FE9"/>
    <w:rsid w:val="007833E2"/>
    <w:rsid w:val="007F7F56"/>
    <w:rsid w:val="008050DF"/>
    <w:rsid w:val="00813784"/>
    <w:rsid w:val="008607BF"/>
    <w:rsid w:val="008804A8"/>
    <w:rsid w:val="008B43F8"/>
    <w:rsid w:val="008D7CCB"/>
    <w:rsid w:val="009172D9"/>
    <w:rsid w:val="009457EA"/>
    <w:rsid w:val="00A66EE3"/>
    <w:rsid w:val="00A70903"/>
    <w:rsid w:val="00A7139D"/>
    <w:rsid w:val="00A8259A"/>
    <w:rsid w:val="00A85BD8"/>
    <w:rsid w:val="00AA3DA6"/>
    <w:rsid w:val="00AB20CE"/>
    <w:rsid w:val="00AC2EE6"/>
    <w:rsid w:val="00AC61C4"/>
    <w:rsid w:val="00AD77F1"/>
    <w:rsid w:val="00AF7577"/>
    <w:rsid w:val="00B14FB0"/>
    <w:rsid w:val="00B84345"/>
    <w:rsid w:val="00B95C97"/>
    <w:rsid w:val="00BF0CF7"/>
    <w:rsid w:val="00C12B3D"/>
    <w:rsid w:val="00C25954"/>
    <w:rsid w:val="00C27B7B"/>
    <w:rsid w:val="00C35870"/>
    <w:rsid w:val="00C65037"/>
    <w:rsid w:val="00CB5EC8"/>
    <w:rsid w:val="00CC31D8"/>
    <w:rsid w:val="00D24C90"/>
    <w:rsid w:val="00D51076"/>
    <w:rsid w:val="00D64343"/>
    <w:rsid w:val="00DA111B"/>
    <w:rsid w:val="00DA79CD"/>
    <w:rsid w:val="00DB18F5"/>
    <w:rsid w:val="00DD2F2B"/>
    <w:rsid w:val="00DF0D5E"/>
    <w:rsid w:val="00E11434"/>
    <w:rsid w:val="00E20E3A"/>
    <w:rsid w:val="00E37004"/>
    <w:rsid w:val="00E53C20"/>
    <w:rsid w:val="00E53E0F"/>
    <w:rsid w:val="00EE549C"/>
    <w:rsid w:val="00F12BE4"/>
    <w:rsid w:val="00F83AA4"/>
    <w:rsid w:val="00FE2F71"/>
    <w:rsid w:val="00FE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57B04"/>
  <w15:chartTrackingRefBased/>
  <w15:docId w15:val="{A6BA63FB-A71D-4A9A-9C6B-0823A490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CS Normal"/>
    <w:qFormat/>
    <w:rsid w:val="00236AA9"/>
    <w:rPr>
      <w:rFonts w:ascii="Arial" w:hAnsi="Arial"/>
    </w:rPr>
  </w:style>
  <w:style w:type="paragraph" w:styleId="Heading1">
    <w:name w:val="heading 1"/>
    <w:aliases w:val="RCS Heading 1"/>
    <w:basedOn w:val="Normal"/>
    <w:next w:val="BodyText"/>
    <w:link w:val="Heading1Char"/>
    <w:uiPriority w:val="9"/>
    <w:qFormat/>
    <w:rsid w:val="00AC61C4"/>
    <w:pPr>
      <w:keepNext/>
      <w:keepLines/>
      <w:spacing w:before="480"/>
      <w:outlineLvl w:val="0"/>
    </w:pPr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Heading2">
    <w:name w:val="heading 2"/>
    <w:aliases w:val="RCS Intro"/>
    <w:basedOn w:val="BodyText"/>
    <w:next w:val="BodyText"/>
    <w:link w:val="Heading2Char"/>
    <w:uiPriority w:val="9"/>
    <w:unhideWhenUsed/>
    <w:qFormat/>
    <w:rsid w:val="00760FE9"/>
    <w:pPr>
      <w:keepNext/>
      <w:keepLines/>
      <w:spacing w:before="200" w:after="0"/>
      <w:outlineLvl w:val="1"/>
    </w:pPr>
    <w:rPr>
      <w:rFonts w:eastAsiaTheme="majorEastAsia" w:cstheme="majorBidi"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F0C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RCS Sub Heading"/>
    <w:basedOn w:val="Heading2"/>
    <w:next w:val="BodyText"/>
    <w:link w:val="Heading4Char"/>
    <w:uiPriority w:val="9"/>
    <w:unhideWhenUsed/>
    <w:qFormat/>
    <w:rsid w:val="001F0C2F"/>
    <w:pPr>
      <w:outlineLvl w:val="3"/>
    </w:pPr>
    <w:rPr>
      <w:bCs w:val="0"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F0C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05B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B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B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B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C61C4"/>
    <w:pPr>
      <w:spacing w:line="240" w:lineRule="auto"/>
    </w:pPr>
    <w:rPr>
      <w:rFonts w:ascii="Arial" w:hAnsi="Arial"/>
    </w:rPr>
  </w:style>
  <w:style w:type="character" w:customStyle="1" w:styleId="Heading1Char">
    <w:name w:val="Heading 1 Char"/>
    <w:aliases w:val="RCS Heading 1 Char"/>
    <w:basedOn w:val="DefaultParagraphFont"/>
    <w:link w:val="Heading1"/>
    <w:uiPriority w:val="9"/>
    <w:rsid w:val="00AC61C4"/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Subtitle">
    <w:name w:val="Subtitle"/>
    <w:aliases w:val="RCS Subtitle,Author"/>
    <w:basedOn w:val="Normal"/>
    <w:next w:val="Normal"/>
    <w:link w:val="SubtitleChar"/>
    <w:uiPriority w:val="11"/>
    <w:qFormat/>
    <w:rsid w:val="00AC61C4"/>
    <w:pPr>
      <w:numPr>
        <w:ilvl w:val="1"/>
      </w:numPr>
    </w:pPr>
    <w:rPr>
      <w:rFonts w:eastAsiaTheme="majorEastAsia" w:cstheme="majorBidi"/>
      <w:b/>
      <w:iCs/>
      <w:color w:val="49C5B1"/>
      <w:spacing w:val="15"/>
      <w:szCs w:val="24"/>
    </w:rPr>
  </w:style>
  <w:style w:type="character" w:customStyle="1" w:styleId="SubtitleChar">
    <w:name w:val="Subtitle Char"/>
    <w:aliases w:val="RCS Subtitle Char,Author Char"/>
    <w:basedOn w:val="DefaultParagraphFont"/>
    <w:link w:val="Subtitle"/>
    <w:uiPriority w:val="11"/>
    <w:rsid w:val="00AC61C4"/>
    <w:rPr>
      <w:rFonts w:ascii="Arial" w:eastAsiaTheme="majorEastAsia" w:hAnsi="Arial" w:cstheme="majorBidi"/>
      <w:b/>
      <w:iCs/>
      <w:color w:val="49C5B1"/>
      <w:spacing w:val="15"/>
      <w:szCs w:val="24"/>
    </w:rPr>
  </w:style>
  <w:style w:type="character" w:customStyle="1" w:styleId="Heading2Char">
    <w:name w:val="Heading 2 Char"/>
    <w:aliases w:val="RCS Intro Char"/>
    <w:basedOn w:val="DefaultParagraphFont"/>
    <w:link w:val="Heading2"/>
    <w:uiPriority w:val="9"/>
    <w:rsid w:val="00760FE9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styleId="SubtleEmphasis">
    <w:name w:val="Subtle Emphasis"/>
    <w:basedOn w:val="DefaultParagraphFont"/>
    <w:uiPriority w:val="19"/>
    <w:rsid w:val="00DA111B"/>
    <w:rPr>
      <w:i/>
      <w:iCs/>
      <w:color w:val="808080" w:themeColor="text1" w:themeTint="7F"/>
    </w:rPr>
  </w:style>
  <w:style w:type="paragraph" w:styleId="BodyText">
    <w:name w:val="Body Text"/>
    <w:basedOn w:val="Normal"/>
    <w:link w:val="BodyTextChar"/>
    <w:uiPriority w:val="99"/>
    <w:semiHidden/>
    <w:unhideWhenUsed/>
    <w:rsid w:val="00AC61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61C4"/>
    <w:rPr>
      <w:rFonts w:ascii="Arial" w:hAnsi="Arial"/>
    </w:rPr>
  </w:style>
  <w:style w:type="character" w:styleId="Emphasis">
    <w:name w:val="Emphasis"/>
    <w:basedOn w:val="DefaultParagraphFont"/>
    <w:uiPriority w:val="20"/>
    <w:rsid w:val="00760FE9"/>
    <w:rPr>
      <w:i/>
      <w:iCs/>
    </w:rPr>
  </w:style>
  <w:style w:type="character" w:styleId="IntenseEmphasis">
    <w:name w:val="Intense Emphasis"/>
    <w:basedOn w:val="DefaultParagraphFont"/>
    <w:uiPriority w:val="21"/>
    <w:rsid w:val="00760FE9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rsid w:val="00760F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F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F0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RCS Sub Heading Char"/>
    <w:basedOn w:val="DefaultParagraphFont"/>
    <w:link w:val="Heading4"/>
    <w:uiPriority w:val="9"/>
    <w:rsid w:val="001F0C2F"/>
    <w:rPr>
      <w:rFonts w:ascii="Arial" w:eastAsiaTheme="majorEastAsia" w:hAnsi="Arial" w:cstheme="majorBidi"/>
      <w:iCs/>
      <w:color w:val="000000" w:themeColor="text1"/>
      <w:sz w:val="3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F0C2F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RCStable">
    <w:name w:val="RCS table"/>
    <w:basedOn w:val="TableNormal"/>
    <w:uiPriority w:val="99"/>
    <w:rsid w:val="004C230E"/>
    <w:pPr>
      <w:spacing w:line="240" w:lineRule="auto"/>
    </w:pPr>
    <w:tblPr>
      <w:tblStyleRowBandSize w:val="1"/>
      <w:tblStyleColBandSize w:val="1"/>
      <w:tblBorders>
        <w:top w:val="single" w:sz="4" w:space="0" w:color="3071C3" w:themeColor="text2" w:themeTint="BF"/>
        <w:left w:val="single" w:sz="4" w:space="0" w:color="3071C3" w:themeColor="text2" w:themeTint="BF"/>
        <w:bottom w:val="single" w:sz="4" w:space="0" w:color="3071C3" w:themeColor="text2" w:themeTint="BF"/>
        <w:right w:val="single" w:sz="4" w:space="0" w:color="3071C3" w:themeColor="text2" w:themeTint="BF"/>
        <w:insideH w:val="single" w:sz="4" w:space="0" w:color="3071C3" w:themeColor="text2" w:themeTint="BF"/>
        <w:insideV w:val="single" w:sz="4" w:space="0" w:color="3071C3" w:themeColor="text2" w:themeTint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49C5B1"/>
      </w:tcPr>
    </w:tblStylePr>
    <w:tblStylePr w:type="band1Horz">
      <w:tblPr/>
      <w:tcPr>
        <w:shd w:val="clear" w:color="auto" w:fill="E5E2D1" w:themeFill="background2" w:themeFillShade="F2"/>
      </w:tcPr>
    </w:tblStylePr>
  </w:style>
  <w:style w:type="table" w:styleId="TableGrid">
    <w:name w:val="Table Grid"/>
    <w:basedOn w:val="TableNormal"/>
    <w:uiPriority w:val="39"/>
    <w:rsid w:val="004C23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605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BBC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rsid w:val="00605B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BBC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aliases w:val="M Bullet small"/>
    <w:basedOn w:val="Normal"/>
    <w:link w:val="ListParagraphChar"/>
    <w:uiPriority w:val="34"/>
    <w:qFormat/>
    <w:rsid w:val="00605BB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605B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BBC"/>
    <w:rPr>
      <w:rFonts w:ascii="Arial" w:hAnsi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rsid w:val="00605BBC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6AA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AA9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236AA9"/>
    <w:rPr>
      <w:color w:val="0000FF" w:themeColor="hyperlink"/>
      <w:u w:val="single"/>
    </w:rPr>
  </w:style>
  <w:style w:type="character" w:customStyle="1" w:styleId="ListParagraphChar">
    <w:name w:val="List Paragraph Char"/>
    <w:aliases w:val="M Bullet small Char"/>
    <w:basedOn w:val="DefaultParagraphFont"/>
    <w:link w:val="ListParagraph"/>
    <w:uiPriority w:val="34"/>
    <w:rsid w:val="00236AA9"/>
    <w:rPr>
      <w:rFonts w:ascii="Arial" w:hAnsi="Arial"/>
    </w:rPr>
  </w:style>
  <w:style w:type="table" w:styleId="GridTable1Light-Accent3">
    <w:name w:val="Grid Table 1 Light Accent 3"/>
    <w:basedOn w:val="TableNormal"/>
    <w:uiPriority w:val="46"/>
    <w:rsid w:val="00236AA9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36AA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E34"/>
    <w:pPr>
      <w:spacing w:line="240" w:lineRule="auto"/>
    </w:pPr>
    <w:rPr>
      <w:rFonts w:ascii="Calibri" w:hAnsi="Calibri"/>
      <w:kern w:val="2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5E34"/>
    <w:rPr>
      <w:rFonts w:ascii="Calibri" w:hAnsi="Calibri"/>
      <w:kern w:val="2"/>
      <w:szCs w:val="20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755E3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57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7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7E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7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7EA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7F56"/>
    <w:pPr>
      <w:spacing w:line="240" w:lineRule="auto"/>
    </w:pPr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0E6F71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BF0CF7"/>
    <w:pPr>
      <w:tabs>
        <w:tab w:val="center" w:pos="4513"/>
        <w:tab w:val="right" w:pos="9026"/>
      </w:tabs>
      <w:spacing w:line="240" w:lineRule="auto"/>
    </w:pPr>
    <w:rPr>
      <w:rFonts w:ascii="Calibri" w:hAnsi="Calibr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F0CF7"/>
    <w:rPr>
      <w:rFonts w:ascii="Calibri" w:hAnsi="Calibr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nnalsofoncology.org/article/S0923-7534(23)05103-7/fulltex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CG12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ng12/chapter/Recommendations-organised-by-site-of-cance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variancanceraudit@rcseng.ac.uk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ejog.org/article/S0301-2115(24)00314-2/full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A44E3-6301-4F40-B4A0-CF60B732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1039</Words>
  <Characters>5925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Zachou</dc:creator>
  <cp:keywords/>
  <dc:description/>
  <cp:lastModifiedBy>Joanne Boudour</cp:lastModifiedBy>
  <cp:revision>2</cp:revision>
  <dcterms:created xsi:type="dcterms:W3CDTF">2026-06-08T09:33:00Z</dcterms:created>
  <dcterms:modified xsi:type="dcterms:W3CDTF">2026-06-08T09:33:00Z</dcterms:modified>
</cp:coreProperties>
</file>